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49A4" w14:textId="77777777" w:rsidR="00BB680A" w:rsidRDefault="00BB680A" w:rsidP="00BB680A">
      <w:pPr>
        <w:pStyle w:val="Heading2"/>
        <w:spacing w:line="48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Derivation of linear growth law </w:t>
      </w:r>
    </w:p>
    <w:p w14:paraId="1D5FC311" w14:textId="77777777" w:rsidR="00BB680A" w:rsidRPr="00571F7B" w:rsidRDefault="00BB680A" w:rsidP="00BB680A">
      <w:pPr>
        <w:pStyle w:val="NoSpacing"/>
        <w:spacing w:line="360" w:lineRule="auto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Assume that the tumour is spherical with radius </w:t>
      </w:r>
      <m:oMath>
        <m:r>
          <w:rPr>
            <w:rFonts w:ascii="Cambria Math" w:eastAsia="MS Mincho" w:hAnsi="Cambria Math"/>
            <w:szCs w:val="24"/>
            <w:lang w:eastAsia="en-GB"/>
          </w:rPr>
          <m:t>r</m:t>
        </m:r>
      </m:oMath>
      <w:r>
        <w:rPr>
          <w:rFonts w:eastAsia="MS Mincho"/>
          <w:szCs w:val="24"/>
          <w:lang w:eastAsia="en-GB"/>
        </w:rPr>
        <w:t>, i</w:t>
      </w:r>
      <w:proofErr w:type="spellStart"/>
      <w:r w:rsidRPr="00571F7B">
        <w:rPr>
          <w:rFonts w:eastAsia="MS Mincho"/>
          <w:szCs w:val="24"/>
          <w:lang w:eastAsia="en-GB"/>
        </w:rPr>
        <w:t>f</w:t>
      </w:r>
      <w:proofErr w:type="spellEnd"/>
      <w:r w:rsidRPr="00571F7B">
        <w:rPr>
          <w:rFonts w:eastAsia="MS Mincho"/>
          <w:szCs w:val="24"/>
          <w:lang w:eastAsia="en-GB"/>
        </w:rPr>
        <w:t xml:space="preserve"> the proliferating layer has thickness </w:t>
      </w:r>
      <m:oMath>
        <m:r>
          <w:rPr>
            <w:rFonts w:ascii="Cambria Math" w:eastAsia="MS Mincho" w:hAnsi="Cambria Math"/>
            <w:szCs w:val="24"/>
            <w:lang w:eastAsia="en-GB"/>
          </w:rPr>
          <m:t>d</m:t>
        </m:r>
        <m:r>
          <m:rPr>
            <m:sty m:val="p"/>
          </m:rPr>
          <w:rPr>
            <w:rFonts w:ascii="Cambria Math" w:eastAsia="MS Mincho" w:hAnsi="Cambria Math"/>
            <w:szCs w:val="24"/>
            <w:lang w:eastAsia="en-GB"/>
          </w:rPr>
          <m:t>&lt;</m:t>
        </m:r>
        <m:r>
          <w:rPr>
            <w:rFonts w:ascii="Cambria Math" w:eastAsia="MS Mincho" w:hAnsi="Cambria Math"/>
            <w:szCs w:val="24"/>
            <w:lang w:eastAsia="en-GB"/>
          </w:rPr>
          <m:t>r</m:t>
        </m:r>
      </m:oMath>
      <w:r w:rsidRPr="00571F7B">
        <w:rPr>
          <w:rFonts w:eastAsia="MS Mincho"/>
          <w:szCs w:val="24"/>
          <w:lang w:eastAsia="en-GB"/>
        </w:rPr>
        <w:t xml:space="preserve">, and is growing at a rate a, then the volume of the layer is </w:t>
      </w:r>
    </w:p>
    <w:p w14:paraId="7DCB1646" w14:textId="77777777" w:rsidR="00BB680A" w:rsidRPr="00571F7B" w:rsidRDefault="00BB680A" w:rsidP="00BB680A">
      <w:pPr>
        <w:pStyle w:val="NoSpacing"/>
        <w:spacing w:line="360" w:lineRule="auto"/>
        <w:ind w:firstLine="720"/>
        <w:rPr>
          <w:rFonts w:eastAsia="MS Mincho"/>
          <w:szCs w:val="24"/>
          <w:lang w:eastAsia="en-GB"/>
        </w:rPr>
      </w:pPr>
      <w:r w:rsidRPr="009B5279">
        <w:rPr>
          <w:rFonts w:eastAsia="MS Mincho"/>
          <w:szCs w:val="24"/>
          <w:lang w:eastAsia="en-GB"/>
        </w:rPr>
        <w:object w:dxaOrig="1140" w:dyaOrig="400" w14:anchorId="746EAA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1.6pt" o:ole="" o:allowoverlap="f">
            <v:imagedata r:id="rId4" o:title=""/>
          </v:shape>
          <o:OLEObject Type="Embed" ProgID="Equation.3" ShapeID="_x0000_i1025" DrawAspect="Content" ObjectID="_1667800784" r:id="rId5"/>
        </w:object>
      </w:r>
      <w:r w:rsidRPr="00571F7B">
        <w:rPr>
          <w:rFonts w:eastAsia="MS Mincho"/>
          <w:szCs w:val="24"/>
          <w:lang w:eastAsia="en-GB"/>
        </w:rPr>
        <w:t xml:space="preserve"> </w:t>
      </w:r>
    </w:p>
    <w:p w14:paraId="732276FC" w14:textId="77777777" w:rsidR="00BB680A" w:rsidRPr="00571F7B" w:rsidRDefault="00BB680A" w:rsidP="00BB680A">
      <w:pPr>
        <w:pStyle w:val="NoSpacing"/>
        <w:spacing w:line="360" w:lineRule="auto"/>
        <w:rPr>
          <w:rFonts w:eastAsia="MS Mincho"/>
          <w:szCs w:val="24"/>
          <w:lang w:eastAsia="en-GB"/>
        </w:rPr>
      </w:pPr>
      <w:r w:rsidRPr="00571F7B">
        <w:rPr>
          <w:rFonts w:eastAsia="MS Mincho"/>
          <w:szCs w:val="24"/>
          <w:lang w:eastAsia="en-GB"/>
        </w:rPr>
        <w:t xml:space="preserve">and it is growing at a rate </w:t>
      </w:r>
    </w:p>
    <w:p w14:paraId="0C3B8F9F" w14:textId="77777777" w:rsidR="00BB680A" w:rsidRPr="00571F7B" w:rsidRDefault="00BB680A" w:rsidP="00BB680A">
      <w:pPr>
        <w:pStyle w:val="NoSpacing"/>
        <w:spacing w:line="360" w:lineRule="auto"/>
        <w:ind w:firstLine="720"/>
        <w:rPr>
          <w:rFonts w:eastAsia="MS Mincho"/>
          <w:szCs w:val="24"/>
          <w:lang w:eastAsia="en-GB"/>
        </w:rPr>
      </w:pPr>
      <w:r w:rsidRPr="009B5279">
        <w:rPr>
          <w:rFonts w:eastAsia="MS Mincho"/>
          <w:szCs w:val="24"/>
          <w:lang w:eastAsia="en-GB"/>
        </w:rPr>
        <w:object w:dxaOrig="2140" w:dyaOrig="660" w14:anchorId="54953868">
          <v:shape id="_x0000_i1026" type="#_x0000_t75" style="width:108pt;height:36pt" o:ole="" o:allowoverlap="f">
            <v:imagedata r:id="rId6" o:title=""/>
          </v:shape>
          <o:OLEObject Type="Embed" ProgID="Equation.3" ShapeID="_x0000_i1026" DrawAspect="Content" ObjectID="_1667800785" r:id="rId7"/>
        </w:object>
      </w:r>
      <w:r w:rsidRPr="00571F7B">
        <w:rPr>
          <w:rFonts w:eastAsia="MS Mincho"/>
          <w:szCs w:val="24"/>
          <w:lang w:eastAsia="en-GB"/>
        </w:rPr>
        <w:t>.</w:t>
      </w:r>
    </w:p>
    <w:p w14:paraId="640173CB" w14:textId="77777777" w:rsidR="00BB680A" w:rsidRPr="00571F7B" w:rsidRDefault="00BB680A" w:rsidP="00BB680A">
      <w:pPr>
        <w:pStyle w:val="NoSpacing"/>
        <w:spacing w:line="360" w:lineRule="auto"/>
        <w:rPr>
          <w:rFonts w:eastAsia="MS Mincho"/>
          <w:szCs w:val="24"/>
          <w:lang w:eastAsia="en-GB"/>
        </w:rPr>
      </w:pPr>
      <w:r w:rsidRPr="00571F7B">
        <w:rPr>
          <w:rFonts w:eastAsia="MS Mincho"/>
          <w:szCs w:val="24"/>
          <w:lang w:eastAsia="en-GB"/>
        </w:rPr>
        <w:t>The total volume of the tumour is</w:t>
      </w:r>
    </w:p>
    <w:p w14:paraId="26C412F5" w14:textId="77777777" w:rsidR="00BB680A" w:rsidRPr="00571F7B" w:rsidRDefault="00BB680A" w:rsidP="00BB680A">
      <w:pPr>
        <w:pStyle w:val="NoSpacing"/>
        <w:spacing w:line="360" w:lineRule="auto"/>
        <w:ind w:left="720"/>
        <w:rPr>
          <w:rFonts w:eastAsia="MS Mincho"/>
          <w:szCs w:val="24"/>
          <w:lang w:eastAsia="en-GB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szCs w:val="24"/>
              <w:lang w:eastAsia="en-GB"/>
            </w:rPr>
            <m:t>V</m:t>
          </m:r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=</m:t>
          </m:r>
          <m:sSub>
            <m:sSub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MS Mincho" w:hAnsi="Cambria Math"/>
                  <w:szCs w:val="24"/>
                  <w:lang w:eastAsia="en-GB"/>
                </w:rPr>
                <m:t>V</m:t>
              </m:r>
            </m:e>
            <m:sub>
              <m:r>
                <w:rPr>
                  <w:rFonts w:ascii="Cambria Math" w:eastAsia="MS Mincho" w:hAnsi="Cambria Math"/>
                  <w:szCs w:val="24"/>
                  <w:lang w:eastAsia="en-GB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+</m:t>
          </m:r>
          <m:sSub>
            <m:sSub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MS Mincho" w:hAnsi="Cambria Math"/>
                  <w:szCs w:val="24"/>
                  <w:lang w:eastAsia="en-GB"/>
                </w:rPr>
                <m:t>V</m:t>
              </m:r>
            </m:e>
            <m:sub>
              <m:r>
                <w:rPr>
                  <w:rFonts w:ascii="Cambria Math" w:eastAsia="MS Mincho" w:hAnsi="Cambria Math"/>
                  <w:szCs w:val="24"/>
                  <w:lang w:eastAsia="en-GB"/>
                </w:rPr>
                <m:t>c</m:t>
              </m:r>
            </m:sub>
          </m:sSub>
        </m:oMath>
      </m:oMathPara>
    </w:p>
    <w:p w14:paraId="4B17FD2C" w14:textId="77777777" w:rsidR="00BB680A" w:rsidRPr="00571F7B" w:rsidRDefault="00BB680A" w:rsidP="00BB680A">
      <w:pPr>
        <w:pStyle w:val="NoSpacing"/>
        <w:spacing w:line="360" w:lineRule="auto"/>
        <w:rPr>
          <w:rFonts w:eastAsia="MS Mincho"/>
          <w:szCs w:val="24"/>
          <w:lang w:eastAsia="en-GB"/>
        </w:rPr>
      </w:pPr>
      <w:r w:rsidRPr="00571F7B">
        <w:rPr>
          <w:rFonts w:eastAsia="MS Mincho"/>
          <w:szCs w:val="24"/>
          <w:lang w:eastAsia="en-GB"/>
        </w:rPr>
        <w:t xml:space="preserve">where </w:t>
      </w:r>
      <w:proofErr w:type="spellStart"/>
      <w:r w:rsidRPr="00571F7B">
        <w:rPr>
          <w:rFonts w:eastAsia="MS Mincho"/>
          <w:szCs w:val="24"/>
          <w:lang w:eastAsia="en-GB"/>
        </w:rPr>
        <w:t>Vc</w:t>
      </w:r>
      <w:proofErr w:type="spellEnd"/>
      <w:r w:rsidRPr="00571F7B">
        <w:rPr>
          <w:rFonts w:eastAsia="MS Mincho"/>
          <w:szCs w:val="24"/>
          <w:lang w:eastAsia="en-GB"/>
        </w:rPr>
        <w:t xml:space="preserve"> is the volume of the necrotic core. The growth equation for the radius of the whole tumour is given by</w:t>
      </w:r>
    </w:p>
    <w:p w14:paraId="7258555A" w14:textId="77777777" w:rsidR="00BB680A" w:rsidRPr="00571F7B" w:rsidRDefault="00BB680A" w:rsidP="00BB680A">
      <w:pPr>
        <w:pStyle w:val="NoSpacing"/>
        <w:spacing w:line="360" w:lineRule="auto"/>
        <w:ind w:left="720"/>
        <w:rPr>
          <w:rFonts w:eastAsia="MS Mincho"/>
          <w:szCs w:val="24"/>
          <w:lang w:eastAsia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dr</m:t>
              </m:r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dr</m:t>
              </m:r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dV</m:t>
              </m:r>
            </m:den>
          </m:f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dV</m:t>
              </m:r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dr</m:t>
              </m:r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dV</m:t>
              </m:r>
            </m:den>
          </m:f>
          <m:d>
            <m:d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dt</m:t>
                  </m:r>
                </m:den>
              </m:f>
              <m:r>
                <m:rPr>
                  <m:sty m:val="p"/>
                </m:rPr>
                <w:rPr>
                  <w:rFonts w:ascii="Cambria Math" w:eastAsia="MS Mincho" w:hAnsi="Cambria Math"/>
                  <w:szCs w:val="24"/>
                  <w:lang w:eastAsia="en-GB"/>
                </w:rPr>
                <m:t>+</m:t>
              </m:r>
              <m:f>
                <m:fPr>
                  <m:ctrlPr>
                    <w:rPr>
                      <w:rFonts w:ascii="Cambria Math" w:eastAsia="MS Mincho" w:hAnsi="Cambria Math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dt</m:t>
                  </m:r>
                </m:den>
              </m:f>
            </m:e>
          </m:d>
        </m:oMath>
      </m:oMathPara>
    </w:p>
    <w:p w14:paraId="41CF4BC4" w14:textId="77777777" w:rsidR="00BB680A" w:rsidRPr="00571F7B" w:rsidRDefault="00BB680A" w:rsidP="00BB680A">
      <w:pPr>
        <w:pStyle w:val="NoSpacing"/>
        <w:spacing w:line="360" w:lineRule="auto"/>
        <w:rPr>
          <w:rFonts w:eastAsia="MS Mincho"/>
          <w:szCs w:val="24"/>
          <w:lang w:eastAsia="en-GB"/>
        </w:rPr>
      </w:pPr>
      <w:r w:rsidRPr="00571F7B">
        <w:rPr>
          <w:rFonts w:eastAsia="MS Mincho"/>
          <w:szCs w:val="24"/>
          <w:lang w:eastAsia="en-GB"/>
        </w:rPr>
        <w:t>but since</w:t>
      </w:r>
    </w:p>
    <w:p w14:paraId="489A7199" w14:textId="77777777" w:rsidR="00BB680A" w:rsidRPr="00571F7B" w:rsidRDefault="00BB680A" w:rsidP="00BB680A">
      <w:pPr>
        <w:pStyle w:val="NoSpacing"/>
        <w:spacing w:line="360" w:lineRule="auto"/>
        <w:ind w:left="720"/>
        <w:rPr>
          <w:rFonts w:eastAsia="MS Mincho"/>
          <w:szCs w:val="24"/>
          <w:lang w:eastAsia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</m:t>
              </m:r>
              <m:sSub>
                <m:sSubPr>
                  <m:ctrlPr>
                    <w:rPr>
                      <w:rFonts w:ascii="Cambria Math" w:eastAsia="MS Mincho" w:hAnsi="Cambria Math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=0</m:t>
          </m:r>
        </m:oMath>
      </m:oMathPara>
    </w:p>
    <w:p w14:paraId="6804DACA" w14:textId="77777777" w:rsidR="00BB680A" w:rsidRPr="00571F7B" w:rsidRDefault="00BB680A" w:rsidP="00BB680A">
      <w:pPr>
        <w:pStyle w:val="NoSpacing"/>
        <w:spacing w:line="360" w:lineRule="auto"/>
        <w:rPr>
          <w:rFonts w:eastAsia="MS Mincho"/>
          <w:szCs w:val="24"/>
          <w:lang w:eastAsia="en-GB"/>
        </w:rPr>
      </w:pPr>
      <w:r w:rsidRPr="00571F7B">
        <w:rPr>
          <w:rFonts w:eastAsia="MS Mincho"/>
          <w:szCs w:val="24"/>
          <w:lang w:eastAsia="en-GB"/>
        </w:rPr>
        <w:t>the growth equation of the radius becomes</w:t>
      </w:r>
    </w:p>
    <w:p w14:paraId="1D4A59EA" w14:textId="77777777" w:rsidR="00BB680A" w:rsidRPr="00571F7B" w:rsidRDefault="00BB680A" w:rsidP="00BB680A">
      <w:pPr>
        <w:pStyle w:val="NoSpacing"/>
        <w:spacing w:line="360" w:lineRule="auto"/>
        <w:ind w:left="720"/>
        <w:rPr>
          <w:rFonts w:eastAsia="MS Mincho"/>
          <w:szCs w:val="24"/>
          <w:lang w:eastAsia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dr</m:t>
              </m:r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dr</m:t>
              </m:r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dV</m:t>
              </m:r>
            </m:den>
          </m:f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dV</m:t>
              </m:r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dr</m:t>
              </m:r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dV</m:t>
              </m:r>
            </m:den>
          </m:f>
          <m:f>
            <m:f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MS Mincho" w:hAnsi="Cambria Math"/>
                  <w:szCs w:val="24"/>
                  <w:lang w:eastAsia="en-GB"/>
                </w:rPr>
                <m:t>d</m:t>
              </m:r>
              <m:sSub>
                <m:sSubPr>
                  <m:ctrlPr>
                    <w:rPr>
                      <w:rFonts w:ascii="Cambria Math" w:eastAsia="MS Mincho" w:hAnsi="Cambria Math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="MS Mincho" w:hAnsi="Cambria Math"/>
                  <w:szCs w:val="24"/>
                  <w:lang w:eastAsia="en-GB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=</m:t>
          </m:r>
          <m:d>
            <m:d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szCs w:val="24"/>
                      <w:lang w:eastAsia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4</m:t>
                  </m:r>
                  <m:r>
                    <w:rPr>
                      <w:rFonts w:ascii="Cambria Math" w:eastAsia="MS Mincho" w:hAnsi="Cambria Math"/>
                      <w:szCs w:val="24"/>
                      <w:lang w:eastAsia="en-GB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MS Mincho" w:hAnsi="Cambria Math"/>
                          <w:szCs w:val="24"/>
                          <w:lang w:eastAsia="en-GB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MS Mincho" w:hAnsi="Cambria Math"/>
              <w:szCs w:val="24"/>
              <w:lang w:eastAsia="en-GB"/>
            </w:rPr>
            <m:t>a</m:t>
          </m:r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4</m:t>
          </m:r>
          <m:r>
            <w:rPr>
              <w:rFonts w:ascii="Cambria Math" w:eastAsia="MS Mincho" w:hAnsi="Cambria Math"/>
              <w:szCs w:val="24"/>
              <w:lang w:eastAsia="en-GB"/>
            </w:rPr>
            <m:t>π</m:t>
          </m:r>
          <m:sSup>
            <m:sSupPr>
              <m:ctrlPr>
                <w:rPr>
                  <w:rFonts w:ascii="Cambria Math" w:eastAsia="MS Mincho" w:hAnsi="Cambria Math"/>
                  <w:szCs w:val="24"/>
                  <w:lang w:eastAsia="en-GB"/>
                </w:rPr>
              </m:ctrlPr>
            </m:sSupPr>
            <m:e>
              <m:r>
                <w:rPr>
                  <w:rFonts w:ascii="Cambria Math" w:eastAsia="MS Mincho" w:hAnsi="Cambria Math"/>
                  <w:szCs w:val="24"/>
                  <w:lang w:eastAsia="en-GB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="MS Mincho" w:hAnsi="Cambria Math"/>
                  <w:szCs w:val="24"/>
                  <w:lang w:eastAsia="en-GB"/>
                </w:rPr>
                <m:t>2</m:t>
              </m:r>
            </m:sup>
          </m:sSup>
          <m:r>
            <w:rPr>
              <w:rFonts w:ascii="Cambria Math" w:eastAsia="MS Mincho" w:hAnsi="Cambria Math"/>
              <w:szCs w:val="24"/>
              <w:lang w:eastAsia="en-GB"/>
            </w:rPr>
            <m:t>d</m:t>
          </m:r>
          <m:r>
            <m:rPr>
              <m:sty m:val="p"/>
            </m:rPr>
            <w:rPr>
              <w:rFonts w:ascii="Cambria Math" w:eastAsia="MS Mincho" w:hAnsi="Cambria Math"/>
              <w:szCs w:val="24"/>
              <w:lang w:eastAsia="en-GB"/>
            </w:rPr>
            <m:t>=</m:t>
          </m:r>
          <m:r>
            <w:rPr>
              <w:rFonts w:ascii="Cambria Math" w:eastAsia="MS Mincho" w:hAnsi="Cambria Math"/>
              <w:szCs w:val="24"/>
              <w:lang w:eastAsia="en-GB"/>
            </w:rPr>
            <m:t>ad</m:t>
          </m:r>
        </m:oMath>
      </m:oMathPara>
    </w:p>
    <w:p w14:paraId="48683A60" w14:textId="77777777" w:rsidR="00BB680A" w:rsidRPr="00571F7B" w:rsidRDefault="00BB680A" w:rsidP="00BB680A">
      <w:pPr>
        <w:pStyle w:val="NoSpacing"/>
        <w:spacing w:line="360" w:lineRule="auto"/>
        <w:rPr>
          <w:rFonts w:eastAsia="MS Mincho"/>
          <w:szCs w:val="24"/>
          <w:lang w:eastAsia="en-GB"/>
        </w:rPr>
      </w:pPr>
      <w:r w:rsidRPr="00571F7B">
        <w:rPr>
          <w:rFonts w:eastAsia="MS Mincho"/>
          <w:szCs w:val="24"/>
          <w:lang w:eastAsia="en-GB"/>
        </w:rPr>
        <w:t>which is solved to give the linear equation</w:t>
      </w:r>
    </w:p>
    <w:p w14:paraId="619462F1" w14:textId="77777777" w:rsidR="00BB680A" w:rsidRPr="00571F7B" w:rsidRDefault="00BB680A" w:rsidP="00BB680A">
      <w:pPr>
        <w:pStyle w:val="NoSpacing"/>
        <w:spacing w:line="360" w:lineRule="auto"/>
        <w:ind w:firstLine="720"/>
        <w:rPr>
          <w:rFonts w:eastAsia="MS Mincho"/>
          <w:szCs w:val="24"/>
          <w:lang w:eastAsia="en-GB"/>
        </w:rPr>
      </w:pPr>
      <w:r w:rsidRPr="009B5279">
        <w:rPr>
          <w:rFonts w:eastAsia="MS Mincho"/>
          <w:szCs w:val="24"/>
          <w:lang w:eastAsia="en-GB"/>
        </w:rPr>
        <w:object w:dxaOrig="1240" w:dyaOrig="360" w14:anchorId="7BA1DE18">
          <v:shape id="_x0000_i1027" type="#_x0000_t75" style="width:63.6pt;height:21.6pt" o:ole="">
            <v:imagedata r:id="rId8" o:title=""/>
          </v:shape>
          <o:OLEObject Type="Embed" ProgID="Equation.3" ShapeID="_x0000_i1027" DrawAspect="Content" ObjectID="_1667800786" r:id="rId9"/>
        </w:object>
      </w:r>
      <w:r w:rsidRPr="00571F7B">
        <w:rPr>
          <w:rFonts w:eastAsia="MS Mincho"/>
          <w:szCs w:val="24"/>
          <w:lang w:eastAsia="en-GB"/>
        </w:rPr>
        <w:t>.</w:t>
      </w:r>
    </w:p>
    <w:p w14:paraId="292F36B4" w14:textId="77777777" w:rsidR="00BB680A" w:rsidRPr="00AF35B1" w:rsidRDefault="00BB680A" w:rsidP="00BB680A">
      <w:pPr>
        <w:pStyle w:val="Heading2"/>
        <w:spacing w:line="480" w:lineRule="auto"/>
        <w:jc w:val="both"/>
        <w:rPr>
          <w:lang w:eastAsia="en-US" w:bidi="en-US"/>
        </w:rPr>
      </w:pPr>
      <w:r>
        <w:rPr>
          <w:lang w:eastAsia="en-US" w:bidi="en-US"/>
        </w:rPr>
        <w:t>Analysis of PDX controls</w:t>
      </w:r>
    </w:p>
    <w:p w14:paraId="1352500A" w14:textId="77777777" w:rsidR="00BB680A" w:rsidRDefault="00BB680A" w:rsidP="00BB680A">
      <w:pPr>
        <w:spacing w:line="480" w:lineRule="auto"/>
        <w:jc w:val="both"/>
        <w:rPr>
          <w:lang w:eastAsia="en-GB" w:bidi="en-US"/>
        </w:rPr>
      </w:pPr>
      <w:r>
        <w:rPr>
          <w:lang w:eastAsia="en-GB" w:bidi="en-US"/>
        </w:rPr>
        <w:t xml:space="preserve">We found that using a proportional error model gave a better model fit to the control data truncated at 14 days than using an additive model (-2xlog-likleihood – proportional error = 668; -2xlog-likleihood – additive error = 750). The final model parameters for the control fit can be seen in Table S1, these values were used for the PDX simulation study. A posterior (visual) predictive check can be seen in Figure S1. </w:t>
      </w:r>
    </w:p>
    <w:p w14:paraId="57D54F65" w14:textId="77777777" w:rsidR="00BB680A" w:rsidRDefault="00BB680A" w:rsidP="00BB680A">
      <w:pPr>
        <w:pStyle w:val="Caption"/>
        <w:keepNext/>
        <w:spacing w:line="480" w:lineRule="auto"/>
        <w:jc w:val="both"/>
      </w:pPr>
      <w:bookmarkStart w:id="0" w:name="_Toc529962166"/>
      <w:r>
        <w:lastRenderedPageBreak/>
        <w:t xml:space="preserve">Table </w:t>
      </w:r>
      <w:r>
        <w:rPr>
          <w:noProof/>
        </w:rPr>
        <w:t>S1</w:t>
      </w:r>
      <w:r>
        <w:t xml:space="preserve"> </w:t>
      </w:r>
      <w:bookmarkEnd w:id="0"/>
    </w:p>
    <w:p w14:paraId="2D53C5A3" w14:textId="77777777" w:rsidR="00BB680A" w:rsidRDefault="00BB680A" w:rsidP="00BB680A">
      <w:pPr>
        <w:pStyle w:val="Caption"/>
        <w:keepNext/>
        <w:spacing w:line="480" w:lineRule="auto"/>
        <w:jc w:val="both"/>
      </w:pPr>
      <w:bookmarkStart w:id="1" w:name="_Toc529962183"/>
      <w:r>
        <w:t xml:space="preserve">Figure S1 </w:t>
      </w:r>
      <w:bookmarkEnd w:id="1"/>
    </w:p>
    <w:p w14:paraId="01D1BFEE" w14:textId="77777777" w:rsidR="00BB680A" w:rsidRDefault="00BB680A" w:rsidP="00BB680A">
      <w:pPr>
        <w:spacing w:line="480" w:lineRule="auto"/>
        <w:jc w:val="both"/>
        <w:rPr>
          <w:lang w:eastAsia="en-GB" w:bidi="en-US"/>
        </w:rPr>
      </w:pPr>
    </w:p>
    <w:p w14:paraId="66BCCC66" w14:textId="77777777" w:rsidR="00BB680A" w:rsidRDefault="00BB680A" w:rsidP="00BB680A">
      <w:pPr>
        <w:spacing w:line="480" w:lineRule="auto"/>
        <w:jc w:val="both"/>
        <w:rPr>
          <w:lang w:eastAsia="en-GB" w:bidi="en-US"/>
        </w:rPr>
      </w:pPr>
      <w:r>
        <w:rPr>
          <w:lang w:eastAsia="en-GB"/>
        </w:rPr>
        <w:t>Solid dots are the observed values, solid red-line is the observed median over time, solid blue lines are the observed 2.5</w:t>
      </w:r>
      <w:r w:rsidRPr="002C1A1D">
        <w:rPr>
          <w:vertAlign w:val="superscript"/>
          <w:lang w:eastAsia="en-GB"/>
        </w:rPr>
        <w:t>th</w:t>
      </w:r>
      <w:r>
        <w:rPr>
          <w:lang w:eastAsia="en-GB"/>
        </w:rPr>
        <w:t xml:space="preserve"> and 97.5</w:t>
      </w:r>
      <w:r w:rsidRPr="002C1A1D">
        <w:rPr>
          <w:vertAlign w:val="superscript"/>
          <w:lang w:eastAsia="en-GB"/>
        </w:rPr>
        <w:t>th</w:t>
      </w:r>
      <w:r>
        <w:rPr>
          <w:lang w:eastAsia="en-GB"/>
        </w:rPr>
        <w:t xml:space="preserve"> percentiles over time, the pink shaded region is the 95% confidence interval for the median and the blue shaded regions are the 95% confidence intervals for the 2.5</w:t>
      </w:r>
      <w:r w:rsidRPr="002C1A1D">
        <w:rPr>
          <w:vertAlign w:val="superscript"/>
          <w:lang w:eastAsia="en-GB"/>
        </w:rPr>
        <w:t>th</w:t>
      </w:r>
      <w:r>
        <w:rPr>
          <w:lang w:eastAsia="en-GB"/>
        </w:rPr>
        <w:t xml:space="preserve"> and 97.5</w:t>
      </w:r>
      <w:r w:rsidRPr="002C1A1D">
        <w:rPr>
          <w:vertAlign w:val="superscript"/>
          <w:lang w:eastAsia="en-GB"/>
        </w:rPr>
        <w:t>th</w:t>
      </w:r>
      <w:r>
        <w:rPr>
          <w:lang w:eastAsia="en-GB"/>
        </w:rPr>
        <w:t xml:space="preserve"> percentile both derived by simulation.</w:t>
      </w:r>
    </w:p>
    <w:p w14:paraId="73FA5512" w14:textId="77777777" w:rsidR="00BB680A" w:rsidRDefault="00BB680A" w:rsidP="00BB680A">
      <w:pPr>
        <w:spacing w:line="480" w:lineRule="auto"/>
        <w:jc w:val="both"/>
        <w:rPr>
          <w:lang w:eastAsia="en-GB"/>
        </w:rPr>
      </w:pPr>
      <w:r>
        <w:rPr>
          <w:lang w:eastAsia="en-GB" w:bidi="en-US"/>
        </w:rPr>
        <w:t xml:space="preserve">We found that modelling the volume of the tumour as opposed to the radius resulted in little change to the power of the analysis. Figure S2 shows the </w:t>
      </w:r>
      <w:r>
        <w:rPr>
          <w:lang w:eastAsia="en-GB"/>
        </w:rPr>
        <w:t>results of the 14, 21 and 28 day 2-arm, treatment versus control, study analysis of the PDX data when the regression and t-test were both performed on the tumour volume</w:t>
      </w:r>
    </w:p>
    <w:p w14:paraId="659E9995" w14:textId="77777777" w:rsidR="00BB680A" w:rsidRDefault="00BB680A" w:rsidP="00BB680A">
      <w:pPr>
        <w:pStyle w:val="Caption"/>
        <w:spacing w:line="480" w:lineRule="auto"/>
        <w:ind w:left="1440" w:hanging="1440"/>
        <w:jc w:val="both"/>
      </w:pPr>
      <w:r>
        <w:t xml:space="preserve">Figure S2 </w:t>
      </w:r>
    </w:p>
    <w:p w14:paraId="1076E7B0" w14:textId="77777777" w:rsidR="00BB680A" w:rsidRDefault="00BB680A" w:rsidP="00BB680A">
      <w:pPr>
        <w:spacing w:line="480" w:lineRule="auto"/>
        <w:jc w:val="both"/>
      </w:pPr>
      <w:r>
        <w:rPr>
          <w:lang w:eastAsia="en-GB" w:bidi="en-US"/>
        </w:rPr>
        <w:t xml:space="preserve">We also compared </w:t>
      </w:r>
      <w:proofErr w:type="gramStart"/>
      <w:r>
        <w:rPr>
          <w:lang w:eastAsia="en-GB" w:bidi="en-US"/>
        </w:rPr>
        <w:t>mixed-effect</w:t>
      </w:r>
      <w:proofErr w:type="gramEnd"/>
      <w:r>
        <w:rPr>
          <w:lang w:eastAsia="en-GB" w:bidi="en-US"/>
        </w:rPr>
        <w:t xml:space="preserve"> modelling to a </w:t>
      </w:r>
      <w:r>
        <w:t>n</w:t>
      </w:r>
      <w:r w:rsidRPr="00DB5E75">
        <w:t>aïve</w:t>
      </w:r>
      <w:r>
        <w:t xml:space="preserve"> pooled approach. Figure S3 shows the comparison of the statistical power. There was a noticeable reduction in power if a n</w:t>
      </w:r>
      <w:r w:rsidRPr="00DB5E75">
        <w:t>aïve</w:t>
      </w:r>
      <w:r>
        <w:t xml:space="preserve"> pooled approach was taken instead of using a mixed-effects model if the study endpoint was 14 days, but there was little difference in power when the length of study endpoint was day 21 or 28.</w:t>
      </w:r>
    </w:p>
    <w:p w14:paraId="3CA2F665" w14:textId="77777777" w:rsidR="00BB680A" w:rsidRDefault="00BB680A" w:rsidP="00BB680A">
      <w:pPr>
        <w:pStyle w:val="Caption"/>
        <w:spacing w:line="480" w:lineRule="auto"/>
        <w:ind w:left="1440" w:hanging="1440"/>
        <w:jc w:val="both"/>
        <w:rPr>
          <w:lang w:eastAsia="en-GB"/>
        </w:rPr>
      </w:pPr>
      <w:r>
        <w:t xml:space="preserve">Figure </w:t>
      </w:r>
      <w:r>
        <w:rPr>
          <w:noProof/>
        </w:rPr>
        <w:t>S3</w:t>
      </w:r>
      <w:r>
        <w:t xml:space="preserve"> </w:t>
      </w:r>
    </w:p>
    <w:p w14:paraId="52D36804" w14:textId="77777777" w:rsidR="00BB680A" w:rsidRPr="009D6475" w:rsidRDefault="00BB680A" w:rsidP="00BB680A">
      <w:pPr>
        <w:rPr>
          <w:lang w:bidi="en-US"/>
        </w:rPr>
      </w:pPr>
    </w:p>
    <w:p w14:paraId="42103E99" w14:textId="77777777" w:rsidR="00BB680A" w:rsidRPr="00AF35B1" w:rsidRDefault="00BB680A" w:rsidP="00BB680A">
      <w:pPr>
        <w:pStyle w:val="Heading2"/>
        <w:spacing w:line="480" w:lineRule="auto"/>
        <w:jc w:val="both"/>
        <w:rPr>
          <w:lang w:eastAsia="en-US" w:bidi="en-US"/>
        </w:rPr>
      </w:pPr>
      <w:bookmarkStart w:id="2" w:name="_Toc529962084"/>
      <w:r>
        <w:rPr>
          <w:lang w:eastAsia="en-US" w:bidi="en-US"/>
        </w:rPr>
        <w:t>Analysis of CDX controls</w:t>
      </w:r>
      <w:bookmarkEnd w:id="2"/>
    </w:p>
    <w:p w14:paraId="043E5A3D" w14:textId="77777777" w:rsidR="00BB680A" w:rsidRDefault="00BB680A" w:rsidP="00BB680A">
      <w:pPr>
        <w:spacing w:line="480" w:lineRule="auto"/>
        <w:jc w:val="both"/>
        <w:rPr>
          <w:lang w:eastAsia="en-GB" w:bidi="en-US"/>
        </w:rPr>
      </w:pPr>
      <w:r>
        <w:rPr>
          <w:lang w:eastAsia="en-GB" w:bidi="en-US"/>
        </w:rPr>
        <w:t xml:space="preserve">The final model parameters to the control data, using a proportional error model, in the CDX study can be seen in Table S2, these values were used in the CDX simulation study. A posterior (visual) predictive check can be seen in Figure S4.  </w:t>
      </w:r>
    </w:p>
    <w:p w14:paraId="671883CA" w14:textId="77777777" w:rsidR="00BB680A" w:rsidRDefault="00BB680A" w:rsidP="00BB680A">
      <w:pPr>
        <w:pStyle w:val="Caption"/>
        <w:keepNext/>
        <w:spacing w:line="480" w:lineRule="auto"/>
        <w:jc w:val="both"/>
      </w:pPr>
      <w:bookmarkStart w:id="3" w:name="_Toc529962167"/>
      <w:r>
        <w:lastRenderedPageBreak/>
        <w:t xml:space="preserve">Table </w:t>
      </w:r>
      <w:r>
        <w:rPr>
          <w:noProof/>
        </w:rPr>
        <w:t>S2</w:t>
      </w:r>
      <w:r>
        <w:t xml:space="preserve"> </w:t>
      </w:r>
      <w:bookmarkEnd w:id="3"/>
    </w:p>
    <w:p w14:paraId="3284CDFA" w14:textId="77777777" w:rsidR="00BB680A" w:rsidRDefault="00BB680A" w:rsidP="00BB680A">
      <w:pPr>
        <w:pStyle w:val="Caption"/>
        <w:keepNext/>
        <w:spacing w:line="480" w:lineRule="auto"/>
        <w:jc w:val="both"/>
      </w:pPr>
      <w:bookmarkStart w:id="4" w:name="_Toc529962184"/>
      <w:r>
        <w:t xml:space="preserve">Figure </w:t>
      </w:r>
      <w:r>
        <w:rPr>
          <w:noProof/>
        </w:rPr>
        <w:t>S4</w:t>
      </w:r>
      <w:r>
        <w:t xml:space="preserve"> </w:t>
      </w:r>
      <w:bookmarkEnd w:id="4"/>
    </w:p>
    <w:p w14:paraId="2BDEB162" w14:textId="77777777" w:rsidR="00BB680A" w:rsidRDefault="00BB680A" w:rsidP="00BB680A">
      <w:pPr>
        <w:spacing w:line="480" w:lineRule="auto"/>
        <w:jc w:val="both"/>
        <w:rPr>
          <w:lang w:eastAsia="en-GB" w:bidi="en-US"/>
        </w:rPr>
      </w:pPr>
    </w:p>
    <w:p w14:paraId="1947D3F8" w14:textId="77777777" w:rsidR="00BB680A" w:rsidRDefault="00BB680A" w:rsidP="00BB680A">
      <w:pPr>
        <w:spacing w:line="480" w:lineRule="auto"/>
        <w:jc w:val="both"/>
        <w:rPr>
          <w:lang w:eastAsia="en-GB" w:bidi="en-US"/>
        </w:rPr>
      </w:pPr>
      <w:r>
        <w:rPr>
          <w:lang w:eastAsia="en-GB"/>
        </w:rPr>
        <w:t>Solid dots are the observed values, solid red-line is the observed median over time, solid blue lines are the observed 2.5</w:t>
      </w:r>
      <w:r w:rsidRPr="002C1A1D">
        <w:rPr>
          <w:vertAlign w:val="superscript"/>
          <w:lang w:eastAsia="en-GB"/>
        </w:rPr>
        <w:t>th</w:t>
      </w:r>
      <w:r>
        <w:rPr>
          <w:lang w:eastAsia="en-GB"/>
        </w:rPr>
        <w:t xml:space="preserve"> and 97.5</w:t>
      </w:r>
      <w:r w:rsidRPr="002C1A1D">
        <w:rPr>
          <w:vertAlign w:val="superscript"/>
          <w:lang w:eastAsia="en-GB"/>
        </w:rPr>
        <w:t>th</w:t>
      </w:r>
      <w:r>
        <w:rPr>
          <w:lang w:eastAsia="en-GB"/>
        </w:rPr>
        <w:t xml:space="preserve"> percentiles over time, the pink shaded region is the 95% confidence interval for the median and the blue shaded regions are the 95% confidence intervals for the 2.5</w:t>
      </w:r>
      <w:r w:rsidRPr="002C1A1D">
        <w:rPr>
          <w:vertAlign w:val="superscript"/>
          <w:lang w:eastAsia="en-GB"/>
        </w:rPr>
        <w:t>th</w:t>
      </w:r>
      <w:r>
        <w:rPr>
          <w:lang w:eastAsia="en-GB"/>
        </w:rPr>
        <w:t xml:space="preserve"> and 97.5</w:t>
      </w:r>
      <w:r w:rsidRPr="002C1A1D">
        <w:rPr>
          <w:vertAlign w:val="superscript"/>
          <w:lang w:eastAsia="en-GB"/>
        </w:rPr>
        <w:t>th</w:t>
      </w:r>
      <w:r>
        <w:rPr>
          <w:lang w:eastAsia="en-GB"/>
        </w:rPr>
        <w:t xml:space="preserve"> percentile both derived by simulation.</w:t>
      </w:r>
    </w:p>
    <w:p w14:paraId="5B31540A" w14:textId="77777777" w:rsidR="00BB680A" w:rsidRDefault="00BB680A" w:rsidP="00BB680A">
      <w:pPr>
        <w:pStyle w:val="Heading2"/>
      </w:pPr>
      <w:r>
        <w:t>Analysis of PDX studies</w:t>
      </w:r>
    </w:p>
    <w:p w14:paraId="0E71D96E" w14:textId="77777777" w:rsidR="00BB680A" w:rsidRPr="00052B73" w:rsidRDefault="00BB680A" w:rsidP="00BB680A">
      <w:pPr>
        <w:spacing w:line="480" w:lineRule="auto"/>
        <w:jc w:val="both"/>
      </w:pPr>
      <w:r>
        <w:t>For each study, the TGI and treatment effect parameter, calculated by the model-based approach, are reported in Table S3.</w:t>
      </w:r>
    </w:p>
    <w:p w14:paraId="40AF039D" w14:textId="77777777" w:rsidR="00BB680A" w:rsidRDefault="00BB680A" w:rsidP="00BB680A">
      <w:pPr>
        <w:pStyle w:val="Caption"/>
        <w:keepNext/>
        <w:spacing w:line="480" w:lineRule="auto"/>
        <w:jc w:val="both"/>
      </w:pPr>
      <w:r>
        <w:t xml:space="preserve">Table </w:t>
      </w:r>
      <w:r>
        <w:rPr>
          <w:noProof/>
        </w:rPr>
        <w:t>S3</w:t>
      </w:r>
      <w:r>
        <w:t xml:space="preserve"> </w:t>
      </w:r>
    </w:p>
    <w:p w14:paraId="134A4DCD" w14:textId="77777777" w:rsidR="00BB680A" w:rsidRDefault="00BB680A" w:rsidP="00BB680A"/>
    <w:p w14:paraId="122A74DA" w14:textId="3F775D5C" w:rsidR="00BB680A" w:rsidRDefault="00BB680A"/>
    <w:sectPr w:rsidR="00BB6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0A"/>
    <w:rsid w:val="00B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89AD"/>
  <w15:chartTrackingRefBased/>
  <w15:docId w15:val="{D74CB690-310A-4831-9F04-FFBFECC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B68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1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80A"/>
    <w:rPr>
      <w:rFonts w:ascii="Arial" w:eastAsia="Times New Roman" w:hAnsi="Arial" w:cs="Times New Roman"/>
      <w:b/>
      <w:bCs/>
      <w:iCs/>
      <w:sz w:val="18"/>
      <w:szCs w:val="28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BB680A"/>
    <w:pPr>
      <w:spacing w:before="120" w:after="80" w:line="276" w:lineRule="auto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BB680A"/>
    <w:rPr>
      <w:rFonts w:ascii="Arial" w:eastAsia="Times New Roman" w:hAnsi="Arial" w:cs="Times New Roman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B680A"/>
    <w:pPr>
      <w:spacing w:before="120" w:after="80" w:line="276" w:lineRule="auto"/>
    </w:pPr>
    <w:rPr>
      <w:rFonts w:ascii="Arial" w:eastAsia="Times New Roman" w:hAnsi="Arial" w:cs="Times New Roman"/>
      <w:b/>
      <w:bCs/>
      <w:sz w:val="20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Dickinson</dc:creator>
  <cp:keywords/>
  <dc:description/>
  <cp:lastModifiedBy>Jake Dickinson</cp:lastModifiedBy>
  <cp:revision>1</cp:revision>
  <dcterms:created xsi:type="dcterms:W3CDTF">2020-11-25T09:11:00Z</dcterms:created>
  <dcterms:modified xsi:type="dcterms:W3CDTF">2020-11-25T09:13:00Z</dcterms:modified>
</cp:coreProperties>
</file>