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DB81A" w14:textId="77777777" w:rsidR="00801EF8" w:rsidRPr="004101DA" w:rsidRDefault="00801EF8" w:rsidP="004101DA">
      <w:pPr>
        <w:spacing w:line="480" w:lineRule="auto"/>
        <w:jc w:val="center"/>
        <w:rPr>
          <w:rFonts w:cstheme="minorHAnsi"/>
          <w:b/>
        </w:rPr>
      </w:pPr>
      <w:r w:rsidRPr="004101DA">
        <w:rPr>
          <w:rFonts w:cstheme="minorHAnsi"/>
          <w:b/>
        </w:rPr>
        <w:t>Online Supplementary Materials</w:t>
      </w:r>
    </w:p>
    <w:p w14:paraId="387C86F3" w14:textId="77777777" w:rsidR="00801EF8" w:rsidRPr="004101DA" w:rsidRDefault="00801EF8" w:rsidP="004101DA">
      <w:pPr>
        <w:spacing w:line="480" w:lineRule="auto"/>
        <w:jc w:val="center"/>
        <w:rPr>
          <w:rFonts w:cstheme="minorHAnsi"/>
          <w:b/>
        </w:rPr>
      </w:pPr>
      <w:r w:rsidRPr="004101DA">
        <w:rPr>
          <w:rFonts w:cstheme="minorHAnsi"/>
          <w:b/>
        </w:rPr>
        <w:t>Methods</w:t>
      </w:r>
    </w:p>
    <w:p w14:paraId="14FBEBD3" w14:textId="77777777" w:rsidR="000A79B6" w:rsidRDefault="00801EF8" w:rsidP="004101DA">
      <w:pPr>
        <w:spacing w:line="480" w:lineRule="auto"/>
        <w:rPr>
          <w:rFonts w:cstheme="minorHAnsi"/>
          <w:b/>
        </w:rPr>
      </w:pPr>
      <w:r w:rsidRPr="004101DA">
        <w:rPr>
          <w:rFonts w:cstheme="minorHAnsi"/>
          <w:b/>
        </w:rPr>
        <w:t>Measures</w:t>
      </w:r>
    </w:p>
    <w:p w14:paraId="1F92C9DB" w14:textId="38022EFD" w:rsidR="00926ECA" w:rsidRPr="00926ECA" w:rsidRDefault="00926ECA" w:rsidP="00926ECA">
      <w:pPr>
        <w:spacing w:line="480" w:lineRule="auto"/>
        <w:ind w:firstLine="720"/>
        <w:rPr>
          <w:rFonts w:cstheme="minorHAnsi"/>
        </w:rPr>
      </w:pPr>
      <w:r>
        <w:rPr>
          <w:rFonts w:cstheme="minorHAnsi"/>
        </w:rPr>
        <w:t>We pre-registered comparisons between two separate dichotomised groups – those who were self-isolat</w:t>
      </w:r>
      <w:r w:rsidR="00EE2FE3">
        <w:rPr>
          <w:rFonts w:cstheme="minorHAnsi"/>
        </w:rPr>
        <w:t>ing (limiting contact with other people)</w:t>
      </w:r>
      <w:r>
        <w:rPr>
          <w:rFonts w:cstheme="minorHAnsi"/>
        </w:rPr>
        <w:t xml:space="preserve"> or quarantined</w:t>
      </w:r>
      <w:r w:rsidR="00EE2FE3">
        <w:rPr>
          <w:rFonts w:cstheme="minorHAnsi"/>
        </w:rPr>
        <w:t xml:space="preserve"> (under mandated self-isolation)</w:t>
      </w:r>
      <w:r>
        <w:rPr>
          <w:rFonts w:cstheme="minorHAnsi"/>
        </w:rPr>
        <w:t xml:space="preserve"> and those that were not, and those who were under lockdown orders</w:t>
      </w:r>
      <w:r w:rsidR="00EE2FE3">
        <w:rPr>
          <w:rFonts w:cstheme="minorHAnsi"/>
        </w:rPr>
        <w:t xml:space="preserve"> (in cities where movement and gathering </w:t>
      </w:r>
      <w:r w:rsidR="00A33021">
        <w:rPr>
          <w:rFonts w:cstheme="minorHAnsi"/>
        </w:rPr>
        <w:t>restrictions</w:t>
      </w:r>
      <w:r w:rsidR="00EE2FE3">
        <w:rPr>
          <w:rFonts w:cstheme="minorHAnsi"/>
        </w:rPr>
        <w:t xml:space="preserve"> were in place)</w:t>
      </w:r>
      <w:r>
        <w:rPr>
          <w:rFonts w:cstheme="minorHAnsi"/>
        </w:rPr>
        <w:t xml:space="preserve"> and those who were not. </w:t>
      </w:r>
      <w:r w:rsidRPr="00926ECA">
        <w:rPr>
          <w:rFonts w:cstheme="minorHAnsi"/>
        </w:rPr>
        <w:t>Unexpectedly, very few participants were not in lockdown (</w:t>
      </w:r>
      <w:r w:rsidRPr="00A74A52">
        <w:rPr>
          <w:rFonts w:cstheme="minorHAnsi"/>
          <w:i/>
        </w:rPr>
        <w:t>n</w:t>
      </w:r>
      <w:r w:rsidRPr="00926ECA">
        <w:rPr>
          <w:rFonts w:cstheme="minorHAnsi"/>
        </w:rPr>
        <w:t xml:space="preserve"> = 69, ~6%</w:t>
      </w:r>
      <w:r>
        <w:rPr>
          <w:rFonts w:cstheme="minorHAnsi"/>
        </w:rPr>
        <w:t xml:space="preserve"> of our total data</w:t>
      </w:r>
      <w:r w:rsidR="00A506E2">
        <w:rPr>
          <w:rFonts w:cstheme="minorHAnsi"/>
        </w:rPr>
        <w:t>; 1,075 participants were in lockdown</w:t>
      </w:r>
      <w:r w:rsidRPr="00926ECA">
        <w:rPr>
          <w:rFonts w:cstheme="minorHAnsi"/>
        </w:rPr>
        <w:t xml:space="preserve">). Thus, </w:t>
      </w:r>
      <w:r w:rsidR="001915A6">
        <w:rPr>
          <w:rFonts w:cstheme="minorHAnsi"/>
        </w:rPr>
        <w:t xml:space="preserve">although we choose to provide the results of these pre-registered comparisons, we emphasise that </w:t>
      </w:r>
      <w:r w:rsidR="00AF1BA5">
        <w:rPr>
          <w:rFonts w:cstheme="minorHAnsi"/>
        </w:rPr>
        <w:t xml:space="preserve">these </w:t>
      </w:r>
      <w:r w:rsidRPr="00926ECA">
        <w:rPr>
          <w:rFonts w:cstheme="minorHAnsi"/>
        </w:rPr>
        <w:t>estimates for non-lockdown participants are unreliable</w:t>
      </w:r>
      <w:r>
        <w:rPr>
          <w:rFonts w:cstheme="minorHAnsi"/>
        </w:rPr>
        <w:t xml:space="preserve"> </w:t>
      </w:r>
      <w:r w:rsidRPr="00926ECA">
        <w:rPr>
          <w:rFonts w:cstheme="minorHAnsi"/>
        </w:rPr>
        <w:t>due to the very small sample size</w:t>
      </w:r>
      <w:r w:rsidR="00AF1BA5">
        <w:rPr>
          <w:rFonts w:cstheme="minorHAnsi"/>
        </w:rPr>
        <w:t xml:space="preserve">, and must be interpreted with </w:t>
      </w:r>
      <w:r w:rsidR="001915A6">
        <w:rPr>
          <w:rFonts w:cstheme="minorHAnsi"/>
        </w:rPr>
        <w:t>caution</w:t>
      </w:r>
      <w:r w:rsidRPr="00926ECA">
        <w:rPr>
          <w:rFonts w:cstheme="minorHAnsi"/>
        </w:rPr>
        <w:t>. The almost ubiquitous presence of lockdown orders in our data makes it difficult to examine the effects of lockdown on our dependent measures</w:t>
      </w:r>
      <w:r>
        <w:rPr>
          <w:rFonts w:cstheme="minorHAnsi"/>
        </w:rPr>
        <w:t>.</w:t>
      </w:r>
      <w:r w:rsidR="00A74A52">
        <w:rPr>
          <w:rFonts w:cstheme="minorHAnsi"/>
        </w:rPr>
        <w:t xml:space="preserve"> Results for pre-registered comparisons between participants in lockdown and participants not in lockdown are presented in this supplementary document, though we urge caution </w:t>
      </w:r>
      <w:r w:rsidR="00690332">
        <w:rPr>
          <w:rFonts w:cstheme="minorHAnsi"/>
        </w:rPr>
        <w:t xml:space="preserve">when </w:t>
      </w:r>
      <w:r w:rsidR="00A74A52">
        <w:rPr>
          <w:rFonts w:cstheme="minorHAnsi"/>
        </w:rPr>
        <w:t>interpreting these findings due to the small sample size</w:t>
      </w:r>
      <w:r w:rsidR="00690332">
        <w:rPr>
          <w:rFonts w:cstheme="minorHAnsi"/>
        </w:rPr>
        <w:t xml:space="preserve"> and the risk of over-interpreting </w:t>
      </w:r>
      <w:r w:rsidR="001B7552">
        <w:rPr>
          <w:rFonts w:cstheme="minorHAnsi"/>
        </w:rPr>
        <w:t>(probably) unreliable estimates</w:t>
      </w:r>
      <w:r w:rsidR="00A74A52">
        <w:rPr>
          <w:rFonts w:cstheme="minorHAnsi"/>
        </w:rPr>
        <w:t xml:space="preserve">. </w:t>
      </w:r>
    </w:p>
    <w:p w14:paraId="5156CCD0" w14:textId="77777777" w:rsidR="00B32115" w:rsidRPr="004101DA" w:rsidRDefault="00B32115" w:rsidP="00B32115">
      <w:pPr>
        <w:spacing w:line="48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Results</w:t>
      </w:r>
    </w:p>
    <w:p w14:paraId="09FC1B69" w14:textId="37E0106F" w:rsidR="00B32115" w:rsidRDefault="00B32115" w:rsidP="00B32115">
      <w:pPr>
        <w:spacing w:after="0" w:line="480" w:lineRule="auto"/>
        <w:ind w:firstLine="720"/>
      </w:pPr>
      <w:r>
        <w:t>Very few participants were not in lockdown (</w:t>
      </w:r>
      <w:r w:rsidRPr="006F255D">
        <w:rPr>
          <w:i/>
        </w:rPr>
        <w:t>n</w:t>
      </w:r>
      <w:r w:rsidR="00A64FB7">
        <w:t xml:space="preserve"> = 69). The</w:t>
      </w:r>
      <w:r>
        <w:t xml:space="preserve"> results which follow may be unreliable due to the very small sample size. We urge caution when interpreting these results. </w:t>
      </w:r>
      <w:r w:rsidR="002C4A95">
        <w:t>We found no evidence that p</w:t>
      </w:r>
      <w:r>
        <w:t xml:space="preserve">sychological distress was higher for those in lockdown, </w:t>
      </w:r>
      <w:proofErr w:type="gramStart"/>
      <w:r w:rsidRPr="000722BF">
        <w:rPr>
          <w:i/>
        </w:rPr>
        <w:t>t</w:t>
      </w:r>
      <w:r>
        <w:t>(</w:t>
      </w:r>
      <w:proofErr w:type="gramEnd"/>
      <w:r>
        <w:t>1,142) = 0.6</w:t>
      </w:r>
      <w:r w:rsidR="002C4A95">
        <w:t>3</w:t>
      </w:r>
      <w:r>
        <w:t xml:space="preserve">, </w:t>
      </w:r>
      <w:r>
        <w:rPr>
          <w:i/>
        </w:rPr>
        <w:t>p</w:t>
      </w:r>
      <w:r w:rsidR="009170DD">
        <w:t xml:space="preserve"> = .531</w:t>
      </w:r>
      <w:r w:rsidR="00620552">
        <w:t xml:space="preserve">, </w:t>
      </w:r>
      <w:r w:rsidR="00620552">
        <w:rPr>
          <w:i/>
        </w:rPr>
        <w:t>d</w:t>
      </w:r>
      <w:r w:rsidR="00620552">
        <w:t xml:space="preserve"> = .08</w:t>
      </w:r>
      <w:r w:rsidR="009170DD">
        <w:t>. Lockdown was</w:t>
      </w:r>
      <w:r w:rsidR="00620552">
        <w:t xml:space="preserve"> associated with increased loot box spending with participants in lockdown spending significantly more on loot boxes (</w:t>
      </w:r>
      <w:r w:rsidR="00620552">
        <w:rPr>
          <w:i/>
        </w:rPr>
        <w:t xml:space="preserve">M </w:t>
      </w:r>
      <w:r w:rsidR="00620552">
        <w:t xml:space="preserve">= $6.20 USD, </w:t>
      </w:r>
      <w:r w:rsidR="00620552" w:rsidRPr="006767B4">
        <w:rPr>
          <w:i/>
        </w:rPr>
        <w:t>SD</w:t>
      </w:r>
      <w:r w:rsidR="00620552">
        <w:t xml:space="preserve"> = $20.25 USD) than participants not in lockdown (</w:t>
      </w:r>
      <w:r w:rsidR="00620552">
        <w:rPr>
          <w:i/>
        </w:rPr>
        <w:t>M</w:t>
      </w:r>
      <w:r w:rsidR="00620552">
        <w:t xml:space="preserve"> = $2.77 USD, </w:t>
      </w:r>
      <w:r w:rsidR="00620552">
        <w:rPr>
          <w:i/>
        </w:rPr>
        <w:t>SD</w:t>
      </w:r>
      <w:r w:rsidR="00620552">
        <w:t xml:space="preserve">= $10.65 USD), </w:t>
      </w:r>
      <w:proofErr w:type="gramStart"/>
      <w:r w:rsidR="00620552">
        <w:rPr>
          <w:i/>
        </w:rPr>
        <w:t>t</w:t>
      </w:r>
      <w:r w:rsidR="00620552">
        <w:t>(</w:t>
      </w:r>
      <w:proofErr w:type="gramEnd"/>
      <w:r w:rsidR="00620552">
        <w:t xml:space="preserve">1,133) = 2.41, </w:t>
      </w:r>
      <w:r w:rsidR="00620552">
        <w:rPr>
          <w:i/>
        </w:rPr>
        <w:t>p</w:t>
      </w:r>
      <w:r w:rsidR="00620552">
        <w:t xml:space="preserve"> = .016, </w:t>
      </w:r>
      <w:r w:rsidR="00620552">
        <w:rPr>
          <w:i/>
        </w:rPr>
        <w:t>d</w:t>
      </w:r>
      <w:r w:rsidR="00620552">
        <w:t xml:space="preserve"> = 0.30. However, lockdown was</w:t>
      </w:r>
      <w:r w:rsidR="006767B4">
        <w:t xml:space="preserve"> </w:t>
      </w:r>
      <w:r>
        <w:t xml:space="preserve">not associated with increased excessive gaming, or risky loot box use.  The </w:t>
      </w:r>
      <w:r>
        <w:lastRenderedPageBreak/>
        <w:t xml:space="preserve">relationships between contamination concern, loot box spending, IGDC and RLI, split by lockdown status is reported in Table S1. </w:t>
      </w:r>
    </w:p>
    <w:p w14:paraId="70C81DF0" w14:textId="77777777" w:rsidR="006767B4" w:rsidRDefault="006767B4" w:rsidP="006767B4">
      <w:pPr>
        <w:rPr>
          <w:u w:val="single"/>
        </w:rPr>
      </w:pPr>
    </w:p>
    <w:p w14:paraId="563E4A64" w14:textId="5E68AD2A" w:rsidR="00B32115" w:rsidRDefault="00B32115" w:rsidP="006767B4">
      <w:r w:rsidRPr="00EE60E5">
        <w:rPr>
          <w:u w:val="single"/>
        </w:rPr>
        <w:t xml:space="preserve">Table </w:t>
      </w:r>
      <w:r>
        <w:rPr>
          <w:u w:val="single"/>
        </w:rPr>
        <w:t>S</w:t>
      </w:r>
      <w:r w:rsidRPr="00EE60E5">
        <w:rPr>
          <w:u w:val="single"/>
        </w:rPr>
        <w:t>1.</w:t>
      </w:r>
      <w:r>
        <w:t xml:space="preserve"> Associations between Contamination Concern and Problematic Gaming Scales according to Lockdown status</w:t>
      </w:r>
      <w:r w:rsidR="00AC0CF2" w:rsidRPr="00AC0CF2">
        <w:t xml:space="preserve"> </w:t>
      </w:r>
      <w:r w:rsidR="00AC0CF2">
        <w:t xml:space="preserve">for All Respondents (first column), Participants Not in Lockdown (second column), and In Lockdown (third column). Z-tests (column four) </w:t>
      </w:r>
      <w:r w:rsidR="009170DD">
        <w:t xml:space="preserve">reported for the difference between participants in Lockdown and not in Lockdown. </w:t>
      </w:r>
      <w:r>
        <w:t>Correlations reported in Spearman’s Rho.</w:t>
      </w:r>
    </w:p>
    <w:tbl>
      <w:tblPr>
        <w:tblStyle w:val="TableGrid"/>
        <w:tblW w:w="82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843"/>
        <w:gridCol w:w="1984"/>
        <w:gridCol w:w="1276"/>
      </w:tblGrid>
      <w:tr w:rsidR="00C20899" w:rsidRPr="0093136F" w14:paraId="789CEEF2" w14:textId="77777777" w:rsidTr="002A00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B8B745" w14:textId="77777777" w:rsidR="00C20899" w:rsidRPr="0093136F" w:rsidRDefault="00C20899" w:rsidP="002A0077">
            <w:pPr>
              <w:spacing w:line="480" w:lineRule="auto"/>
              <w:rPr>
                <w:rFonts w:eastAsia="Times New Roman" w:cstheme="minorHAnsi"/>
                <w:b/>
                <w:bCs/>
                <w:lang w:eastAsia="en-NZ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5B9CD7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/>
                <w:bCs/>
                <w:lang w:eastAsia="en-NZ"/>
              </w:rPr>
            </w:pPr>
            <w:r w:rsidRPr="0093136F">
              <w:rPr>
                <w:rFonts w:eastAsia="Times New Roman" w:cstheme="minorHAnsi"/>
                <w:b/>
                <w:bCs/>
                <w:lang w:eastAsia="en-NZ"/>
              </w:rPr>
              <w:t>Contamination Concern</w:t>
            </w:r>
          </w:p>
        </w:tc>
      </w:tr>
      <w:tr w:rsidR="00C20899" w:rsidRPr="0093136F" w14:paraId="123A3452" w14:textId="77777777" w:rsidTr="002A00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787AA15" w14:textId="77777777" w:rsidR="00C20899" w:rsidRPr="0093136F" w:rsidRDefault="00C20899" w:rsidP="002A0077">
            <w:pPr>
              <w:spacing w:line="480" w:lineRule="auto"/>
              <w:rPr>
                <w:rFonts w:eastAsia="Times New Roman" w:cstheme="minorHAnsi"/>
                <w:b/>
                <w:bCs/>
                <w:lang w:eastAsia="en-N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94BE52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/>
                <w:bCs/>
                <w:lang w:eastAsia="en-NZ"/>
              </w:rPr>
            </w:pPr>
            <w:r w:rsidRPr="0093136F">
              <w:rPr>
                <w:rFonts w:eastAsia="Times New Roman" w:cstheme="minorHAnsi"/>
                <w:b/>
                <w:bCs/>
                <w:lang w:eastAsia="en-NZ"/>
              </w:rPr>
              <w:t>All Respondents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562FB2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/>
                <w:bCs/>
                <w:lang w:eastAsia="en-NZ"/>
              </w:rPr>
            </w:pPr>
            <w:r w:rsidRPr="0093136F">
              <w:rPr>
                <w:rFonts w:eastAsia="Times New Roman" w:cstheme="minorHAnsi"/>
                <w:b/>
                <w:bCs/>
                <w:lang w:eastAsia="en-NZ"/>
              </w:rPr>
              <w:t xml:space="preserve">Not </w:t>
            </w:r>
            <w:r>
              <w:rPr>
                <w:rFonts w:eastAsia="Times New Roman" w:cstheme="minorHAnsi"/>
                <w:b/>
                <w:bCs/>
                <w:lang w:eastAsia="en-NZ"/>
              </w:rPr>
              <w:t>in Lockdown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070ACAF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In Lockdown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9D9A6E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Z-test for difference</w:t>
            </w:r>
          </w:p>
        </w:tc>
      </w:tr>
      <w:tr w:rsidR="00C20899" w:rsidRPr="0093136F" w14:paraId="1C3280EB" w14:textId="77777777" w:rsidTr="002A0077">
        <w:tc>
          <w:tcPr>
            <w:tcW w:w="1701" w:type="dxa"/>
            <w:tcBorders>
              <w:top w:val="single" w:sz="4" w:space="0" w:color="auto"/>
            </w:tcBorders>
          </w:tcPr>
          <w:p w14:paraId="5DF5F6C5" w14:textId="77777777" w:rsidR="00C20899" w:rsidRPr="0093136F" w:rsidRDefault="00C20899" w:rsidP="002A0077">
            <w:pPr>
              <w:rPr>
                <w:rFonts w:eastAsia="Times New Roman" w:cstheme="minorHAnsi"/>
                <w:b/>
                <w:bCs/>
                <w:lang w:eastAsia="en-NZ"/>
              </w:rPr>
            </w:pPr>
            <w:r w:rsidRPr="0093136F">
              <w:rPr>
                <w:rFonts w:eastAsia="Times New Roman" w:cstheme="minorHAnsi"/>
                <w:b/>
                <w:bCs/>
                <w:lang w:eastAsia="en-NZ"/>
              </w:rPr>
              <w:t>Loot Box Spend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08BA42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Cs/>
                <w:lang w:eastAsia="en-NZ"/>
              </w:rPr>
            </w:pPr>
            <w:r>
              <w:rPr>
                <w:rFonts w:eastAsia="Times New Roman" w:cstheme="minorHAnsi"/>
                <w:bCs/>
                <w:lang w:eastAsia="en-NZ"/>
              </w:rPr>
              <w:t>.163*</w:t>
            </w:r>
            <w:r w:rsidRPr="0093136F">
              <w:rPr>
                <w:rFonts w:eastAsia="Times New Roman" w:cstheme="minorHAnsi"/>
                <w:bCs/>
                <w:lang w:eastAsia="en-NZ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DE55E3" w14:textId="77777777" w:rsidR="00C20899" w:rsidRPr="004A6773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Cs/>
                <w:highlight w:val="yellow"/>
                <w:lang w:eastAsia="en-NZ"/>
              </w:rPr>
            </w:pPr>
            <w:r w:rsidRPr="004351DC">
              <w:rPr>
                <w:rFonts w:eastAsia="Times New Roman" w:cstheme="minorHAnsi"/>
                <w:bCs/>
                <w:lang w:eastAsia="en-NZ"/>
              </w:rPr>
              <w:t>.</w:t>
            </w:r>
            <w:r>
              <w:rPr>
                <w:rFonts w:eastAsia="Times New Roman" w:cstheme="minorHAnsi"/>
                <w:bCs/>
                <w:lang w:eastAsia="en-NZ"/>
              </w:rPr>
              <w:t>282</w:t>
            </w:r>
            <w:r w:rsidRPr="001730D3">
              <w:rPr>
                <w:rFonts w:eastAsia="Times New Roman" w:cstheme="minorHAnsi"/>
                <w:bCs/>
                <w:lang w:eastAsia="en-NZ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191AC1F" w14:textId="77777777" w:rsidR="00C20899" w:rsidRPr="004A6773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Cs/>
                <w:highlight w:val="yellow"/>
                <w:lang w:eastAsia="en-NZ"/>
              </w:rPr>
            </w:pPr>
            <w:r w:rsidRPr="004A6DCA">
              <w:rPr>
                <w:rFonts w:eastAsia="Times New Roman" w:cstheme="minorHAnsi"/>
                <w:bCs/>
                <w:lang w:eastAsia="en-NZ"/>
              </w:rPr>
              <w:t>.</w:t>
            </w:r>
            <w:r>
              <w:rPr>
                <w:rFonts w:eastAsia="Times New Roman" w:cstheme="minorHAnsi"/>
                <w:bCs/>
                <w:lang w:eastAsia="en-NZ"/>
              </w:rPr>
              <w:t>155**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85061D" w14:textId="77777777" w:rsidR="00C20899" w:rsidRDefault="00C20899" w:rsidP="002A0077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t>Z = 1.053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, </w:t>
            </w:r>
          </w:p>
          <w:p w14:paraId="7648731A" w14:textId="77777777" w:rsidR="00C20899" w:rsidRDefault="00C20899" w:rsidP="002A0077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47E8E">
              <w:rPr>
                <w:rFonts w:ascii="Calibri" w:eastAsia="Times New Roman" w:hAnsi="Calibri" w:cs="Calibri"/>
                <w:i/>
                <w:color w:val="000000"/>
                <w:lang w:eastAsia="en-NZ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= .292</w:t>
            </w:r>
          </w:p>
          <w:p w14:paraId="5474B437" w14:textId="77777777" w:rsidR="00B17632" w:rsidRPr="00247E8E" w:rsidRDefault="00B17632" w:rsidP="002A0077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20899" w:rsidRPr="0093136F" w14:paraId="34F2DDBF" w14:textId="77777777" w:rsidTr="002A0077">
        <w:tc>
          <w:tcPr>
            <w:tcW w:w="1701" w:type="dxa"/>
          </w:tcPr>
          <w:p w14:paraId="5888702A" w14:textId="77777777" w:rsidR="00C20899" w:rsidRPr="0093136F" w:rsidRDefault="00C20899" w:rsidP="002A0077">
            <w:pPr>
              <w:rPr>
                <w:rFonts w:eastAsia="Times New Roman" w:cstheme="minorHAnsi"/>
                <w:b/>
                <w:bCs/>
                <w:lang w:eastAsia="en-NZ"/>
              </w:rPr>
            </w:pPr>
            <w:r w:rsidRPr="0093136F">
              <w:rPr>
                <w:rFonts w:eastAsia="Times New Roman" w:cstheme="minorHAnsi"/>
                <w:b/>
                <w:bCs/>
                <w:lang w:eastAsia="en-NZ"/>
              </w:rPr>
              <w:t>RLI</w:t>
            </w:r>
          </w:p>
        </w:tc>
        <w:tc>
          <w:tcPr>
            <w:tcW w:w="1418" w:type="dxa"/>
          </w:tcPr>
          <w:p w14:paraId="0543EF53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Cs/>
                <w:lang w:eastAsia="en-NZ"/>
              </w:rPr>
            </w:pPr>
            <w:r w:rsidRPr="0093136F">
              <w:rPr>
                <w:rFonts w:eastAsia="Times New Roman" w:cstheme="minorHAnsi"/>
                <w:bCs/>
                <w:lang w:eastAsia="en-NZ"/>
              </w:rPr>
              <w:t>.247*</w:t>
            </w:r>
            <w:r>
              <w:rPr>
                <w:rFonts w:eastAsia="Times New Roman" w:cstheme="minorHAnsi"/>
                <w:bCs/>
                <w:lang w:eastAsia="en-NZ"/>
              </w:rPr>
              <w:t>*</w:t>
            </w:r>
          </w:p>
        </w:tc>
        <w:tc>
          <w:tcPr>
            <w:tcW w:w="1843" w:type="dxa"/>
          </w:tcPr>
          <w:p w14:paraId="1A41047E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Cs/>
                <w:lang w:eastAsia="en-NZ"/>
              </w:rPr>
            </w:pPr>
            <w:r w:rsidRPr="0093136F">
              <w:rPr>
                <w:rFonts w:eastAsia="Times New Roman" w:cstheme="minorHAnsi"/>
                <w:bCs/>
                <w:lang w:eastAsia="en-NZ"/>
              </w:rPr>
              <w:t>.</w:t>
            </w:r>
            <w:r>
              <w:rPr>
                <w:rFonts w:eastAsia="Times New Roman" w:cstheme="minorHAnsi"/>
                <w:bCs/>
                <w:lang w:eastAsia="en-NZ"/>
              </w:rPr>
              <w:t>492**</w:t>
            </w:r>
          </w:p>
        </w:tc>
        <w:tc>
          <w:tcPr>
            <w:tcW w:w="1984" w:type="dxa"/>
          </w:tcPr>
          <w:p w14:paraId="4B56183C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Cs/>
                <w:lang w:eastAsia="en-NZ"/>
              </w:rPr>
            </w:pPr>
            <w:r w:rsidRPr="0093136F">
              <w:rPr>
                <w:rFonts w:eastAsia="Times New Roman" w:cstheme="minorHAnsi"/>
                <w:bCs/>
                <w:lang w:eastAsia="en-NZ"/>
              </w:rPr>
              <w:t>.</w:t>
            </w:r>
            <w:r>
              <w:rPr>
                <w:rFonts w:eastAsia="Times New Roman" w:cstheme="minorHAnsi"/>
                <w:bCs/>
                <w:lang w:eastAsia="en-NZ"/>
              </w:rPr>
              <w:t>232**</w:t>
            </w:r>
          </w:p>
        </w:tc>
        <w:tc>
          <w:tcPr>
            <w:tcW w:w="1276" w:type="dxa"/>
          </w:tcPr>
          <w:p w14:paraId="40EC940F" w14:textId="77777777" w:rsidR="00C20899" w:rsidRDefault="00C20899" w:rsidP="002A0077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t xml:space="preserve">Z = </w:t>
            </w:r>
            <w:r w:rsidR="00B17632">
              <w:rPr>
                <w:rFonts w:ascii="Calibri" w:eastAsia="Times New Roman" w:hAnsi="Calibri" w:cs="Calibri"/>
                <w:color w:val="000000"/>
                <w:lang w:eastAsia="en-NZ"/>
              </w:rPr>
              <w:t>2.384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, </w:t>
            </w:r>
          </w:p>
          <w:p w14:paraId="4EF8CA42" w14:textId="77777777" w:rsidR="00C20899" w:rsidRDefault="00C20899" w:rsidP="002A0077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47E8E">
              <w:rPr>
                <w:rFonts w:ascii="Calibri" w:eastAsia="Times New Roman" w:hAnsi="Calibri" w:cs="Calibri"/>
                <w:i/>
                <w:color w:val="000000"/>
                <w:lang w:eastAsia="en-NZ"/>
              </w:rPr>
              <w:t>p</w:t>
            </w:r>
            <w:r w:rsidR="00B17632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= .017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*</w:t>
            </w:r>
          </w:p>
          <w:p w14:paraId="39741267" w14:textId="77777777" w:rsidR="00B17632" w:rsidRPr="00B17632" w:rsidRDefault="00B17632" w:rsidP="002A0077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20899" w:rsidRPr="0093136F" w14:paraId="609F710D" w14:textId="77777777" w:rsidTr="002A0077">
        <w:tc>
          <w:tcPr>
            <w:tcW w:w="1701" w:type="dxa"/>
          </w:tcPr>
          <w:p w14:paraId="6431CA8A" w14:textId="77777777" w:rsidR="00C20899" w:rsidRPr="0093136F" w:rsidRDefault="00C20899" w:rsidP="002A0077">
            <w:pPr>
              <w:rPr>
                <w:rFonts w:eastAsia="Times New Roman" w:cstheme="minorHAnsi"/>
                <w:b/>
                <w:bCs/>
                <w:lang w:eastAsia="en-NZ"/>
              </w:rPr>
            </w:pPr>
            <w:r w:rsidRPr="0093136F">
              <w:rPr>
                <w:rFonts w:eastAsia="Times New Roman" w:cstheme="minorHAnsi"/>
                <w:b/>
                <w:bCs/>
                <w:lang w:eastAsia="en-NZ"/>
              </w:rPr>
              <w:t>IGD</w:t>
            </w:r>
          </w:p>
        </w:tc>
        <w:tc>
          <w:tcPr>
            <w:tcW w:w="1418" w:type="dxa"/>
          </w:tcPr>
          <w:p w14:paraId="65340E63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Cs/>
                <w:lang w:eastAsia="en-NZ"/>
              </w:rPr>
            </w:pPr>
            <w:r w:rsidRPr="0093136F">
              <w:rPr>
                <w:rFonts w:eastAsia="Times New Roman" w:cstheme="minorHAnsi"/>
                <w:bCs/>
                <w:lang w:eastAsia="en-NZ"/>
              </w:rPr>
              <w:t>.263*</w:t>
            </w:r>
            <w:r>
              <w:rPr>
                <w:rFonts w:eastAsia="Times New Roman" w:cstheme="minorHAnsi"/>
                <w:bCs/>
                <w:lang w:eastAsia="en-NZ"/>
              </w:rPr>
              <w:t>*</w:t>
            </w:r>
          </w:p>
        </w:tc>
        <w:tc>
          <w:tcPr>
            <w:tcW w:w="1843" w:type="dxa"/>
          </w:tcPr>
          <w:p w14:paraId="1918C847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Cs/>
                <w:lang w:eastAsia="en-NZ"/>
              </w:rPr>
            </w:pPr>
            <w:r w:rsidRPr="0093136F">
              <w:rPr>
                <w:rFonts w:eastAsia="Times New Roman" w:cstheme="minorHAnsi"/>
                <w:bCs/>
                <w:lang w:eastAsia="en-NZ"/>
              </w:rPr>
              <w:t>.</w:t>
            </w:r>
            <w:r>
              <w:rPr>
                <w:rFonts w:eastAsia="Times New Roman" w:cstheme="minorHAnsi"/>
                <w:bCs/>
                <w:lang w:eastAsia="en-NZ"/>
              </w:rPr>
              <w:t>491**</w:t>
            </w:r>
          </w:p>
        </w:tc>
        <w:tc>
          <w:tcPr>
            <w:tcW w:w="1984" w:type="dxa"/>
          </w:tcPr>
          <w:p w14:paraId="66C81D3D" w14:textId="77777777" w:rsidR="00C20899" w:rsidRPr="0093136F" w:rsidRDefault="00C20899" w:rsidP="002A0077">
            <w:pPr>
              <w:spacing w:line="480" w:lineRule="auto"/>
              <w:jc w:val="center"/>
              <w:rPr>
                <w:rFonts w:eastAsia="Times New Roman" w:cstheme="minorHAnsi"/>
                <w:bCs/>
                <w:lang w:eastAsia="en-NZ"/>
              </w:rPr>
            </w:pPr>
            <w:r w:rsidRPr="0093136F">
              <w:rPr>
                <w:rFonts w:eastAsia="Times New Roman" w:cstheme="minorHAnsi"/>
                <w:bCs/>
                <w:lang w:eastAsia="en-NZ"/>
              </w:rPr>
              <w:t>.</w:t>
            </w:r>
            <w:r>
              <w:rPr>
                <w:rFonts w:eastAsia="Times New Roman" w:cstheme="minorHAnsi"/>
                <w:bCs/>
                <w:lang w:eastAsia="en-NZ"/>
              </w:rPr>
              <w:t>248**</w:t>
            </w:r>
          </w:p>
        </w:tc>
        <w:tc>
          <w:tcPr>
            <w:tcW w:w="1276" w:type="dxa"/>
          </w:tcPr>
          <w:p w14:paraId="26169803" w14:textId="77777777" w:rsidR="00C20899" w:rsidRDefault="00B17632" w:rsidP="002A0077">
            <w:pPr>
              <w:rPr>
                <w:rFonts w:eastAsia="Times New Roman" w:cstheme="minorHAnsi"/>
                <w:bCs/>
                <w:lang w:eastAsia="en-NZ"/>
              </w:rPr>
            </w:pPr>
            <w:r>
              <w:rPr>
                <w:rFonts w:eastAsia="Times New Roman" w:cstheme="minorHAnsi"/>
                <w:bCs/>
                <w:lang w:eastAsia="en-NZ"/>
              </w:rPr>
              <w:t>Z = 2.240</w:t>
            </w:r>
            <w:r w:rsidR="00C20899">
              <w:rPr>
                <w:rFonts w:eastAsia="Times New Roman" w:cstheme="minorHAnsi"/>
                <w:bCs/>
                <w:lang w:eastAsia="en-NZ"/>
              </w:rPr>
              <w:t>,</w:t>
            </w:r>
          </w:p>
          <w:p w14:paraId="4BD25F51" w14:textId="77777777" w:rsidR="00C20899" w:rsidRPr="00247E8E" w:rsidRDefault="00C20899" w:rsidP="002A0077">
            <w:pPr>
              <w:rPr>
                <w:rFonts w:eastAsia="Times New Roman" w:cstheme="minorHAnsi"/>
                <w:bCs/>
                <w:lang w:eastAsia="en-NZ"/>
              </w:rPr>
            </w:pPr>
            <w:r>
              <w:rPr>
                <w:rFonts w:eastAsia="Times New Roman" w:cstheme="minorHAnsi"/>
                <w:bCs/>
                <w:i/>
                <w:lang w:eastAsia="en-NZ"/>
              </w:rPr>
              <w:t>p</w:t>
            </w:r>
            <w:r w:rsidR="00B17632">
              <w:rPr>
                <w:rFonts w:eastAsia="Times New Roman" w:cstheme="minorHAnsi"/>
                <w:bCs/>
                <w:lang w:eastAsia="en-NZ"/>
              </w:rPr>
              <w:t xml:space="preserve"> = .025*</w:t>
            </w:r>
          </w:p>
        </w:tc>
      </w:tr>
    </w:tbl>
    <w:p w14:paraId="5FC0FCA0" w14:textId="77777777" w:rsidR="00C20899" w:rsidRPr="0093136F" w:rsidRDefault="00C20899" w:rsidP="00C20899">
      <w:pPr>
        <w:spacing w:after="0" w:line="480" w:lineRule="auto"/>
        <w:rPr>
          <w:rFonts w:eastAsia="Times New Roman" w:cstheme="minorHAnsi"/>
          <w:bCs/>
          <w:lang w:eastAsia="en-NZ"/>
        </w:rPr>
      </w:pPr>
      <w:r>
        <w:rPr>
          <w:rFonts w:eastAsia="Times New Roman" w:cstheme="minorHAnsi"/>
          <w:bCs/>
          <w:i/>
          <w:lang w:eastAsia="en-NZ"/>
        </w:rPr>
        <w:t>*</w:t>
      </w:r>
      <w:r w:rsidRPr="0093136F">
        <w:rPr>
          <w:rFonts w:eastAsia="Times New Roman" w:cstheme="minorHAnsi"/>
          <w:bCs/>
          <w:i/>
          <w:lang w:eastAsia="en-NZ"/>
        </w:rPr>
        <w:t>p</w:t>
      </w:r>
      <w:r>
        <w:rPr>
          <w:rFonts w:eastAsia="Times New Roman" w:cstheme="minorHAnsi"/>
          <w:bCs/>
          <w:lang w:eastAsia="en-NZ"/>
        </w:rPr>
        <w:t xml:space="preserve"> &lt; .05, </w:t>
      </w:r>
      <w:r>
        <w:rPr>
          <w:rFonts w:eastAsia="Times New Roman" w:cstheme="minorHAnsi"/>
          <w:bCs/>
          <w:i/>
          <w:lang w:eastAsia="en-NZ"/>
        </w:rPr>
        <w:t>*</w:t>
      </w:r>
      <w:r w:rsidRPr="0093136F">
        <w:rPr>
          <w:rFonts w:eastAsia="Times New Roman" w:cstheme="minorHAnsi"/>
          <w:bCs/>
          <w:i/>
          <w:lang w:eastAsia="en-NZ"/>
        </w:rPr>
        <w:t>*p</w:t>
      </w:r>
      <w:r w:rsidRPr="0093136F">
        <w:rPr>
          <w:rFonts w:eastAsia="Times New Roman" w:cstheme="minorHAnsi"/>
          <w:bCs/>
          <w:lang w:eastAsia="en-NZ"/>
        </w:rPr>
        <w:t xml:space="preserve"> &lt; .001</w:t>
      </w:r>
    </w:p>
    <w:p w14:paraId="09A87E77" w14:textId="77777777" w:rsidR="00C20899" w:rsidRDefault="00C20899" w:rsidP="00B32115">
      <w:pPr>
        <w:spacing w:line="480" w:lineRule="auto"/>
        <w:ind w:firstLine="720"/>
      </w:pPr>
    </w:p>
    <w:p w14:paraId="781C9A4E" w14:textId="5F4FE77F" w:rsidR="00B32115" w:rsidRPr="0090748A" w:rsidRDefault="00B32115" w:rsidP="0090748A">
      <w:pPr>
        <w:spacing w:line="480" w:lineRule="auto"/>
        <w:ind w:firstLine="720"/>
        <w:rPr>
          <w:rFonts w:cstheme="minorHAnsi"/>
        </w:rPr>
      </w:pPr>
      <w:r>
        <w:t>P</w:t>
      </w:r>
      <w:r w:rsidRPr="004321AD">
        <w:t xml:space="preserve">roblem gambling symptoms were associated with higher loot box spending, </w:t>
      </w:r>
      <w:proofErr w:type="spellStart"/>
      <w:r w:rsidRPr="004321AD">
        <w:rPr>
          <w:i/>
        </w:rPr>
        <w:t>r</w:t>
      </w:r>
      <w:r w:rsidRPr="004321AD">
        <w:rPr>
          <w:i/>
          <w:vertAlign w:val="subscript"/>
        </w:rPr>
        <w:t>s</w:t>
      </w:r>
      <w:proofErr w:type="spellEnd"/>
      <w:r w:rsidRPr="004321AD">
        <w:t xml:space="preserve"> = .2</w:t>
      </w:r>
      <w:r>
        <w:t>79</w:t>
      </w:r>
      <w:r w:rsidRPr="004321AD">
        <w:t xml:space="preserve">, </w:t>
      </w:r>
      <w:r w:rsidRPr="00A74A52">
        <w:rPr>
          <w:i/>
        </w:rPr>
        <w:t>p</w:t>
      </w:r>
      <w:r w:rsidRPr="004321AD">
        <w:t xml:space="preserve"> &lt; .001</w:t>
      </w:r>
      <w:r>
        <w:t>, which</w:t>
      </w:r>
      <w:r w:rsidRPr="004321AD">
        <w:t xml:space="preserve"> was </w:t>
      </w:r>
      <w:r w:rsidR="007350C6">
        <w:t>similar</w:t>
      </w:r>
      <w:r>
        <w:t xml:space="preserve"> </w:t>
      </w:r>
      <w:r w:rsidRPr="004321AD">
        <w:t xml:space="preserve">for </w:t>
      </w:r>
      <w:r>
        <w:t>those in lockdown</w:t>
      </w:r>
      <w:r w:rsidRPr="00B876D9">
        <w:t xml:space="preserve">, </w:t>
      </w:r>
      <w:proofErr w:type="spellStart"/>
      <w:r w:rsidRPr="00B876D9">
        <w:rPr>
          <w:i/>
        </w:rPr>
        <w:t>r</w:t>
      </w:r>
      <w:r w:rsidRPr="00B876D9">
        <w:rPr>
          <w:i/>
          <w:vertAlign w:val="subscript"/>
        </w:rPr>
        <w:t>s</w:t>
      </w:r>
      <w:proofErr w:type="spellEnd"/>
      <w:r w:rsidRPr="00B876D9">
        <w:t xml:space="preserve"> = .</w:t>
      </w:r>
      <w:r>
        <w:t>275</w:t>
      </w:r>
      <w:r w:rsidRPr="00B876D9">
        <w:t>,</w:t>
      </w:r>
      <w:r w:rsidRPr="00432FA2">
        <w:t xml:space="preserve"> </w:t>
      </w:r>
      <w:r w:rsidRPr="00A74A52">
        <w:rPr>
          <w:i/>
        </w:rPr>
        <w:t>p</w:t>
      </w:r>
      <w:r w:rsidRPr="00432FA2">
        <w:t xml:space="preserve"> &lt; .001, than not</w:t>
      </w:r>
      <w:r w:rsidRPr="00B876D9">
        <w:t xml:space="preserve">, </w:t>
      </w:r>
      <w:proofErr w:type="spellStart"/>
      <w:r w:rsidRPr="00B876D9">
        <w:rPr>
          <w:i/>
        </w:rPr>
        <w:t>r</w:t>
      </w:r>
      <w:r w:rsidRPr="00B876D9">
        <w:rPr>
          <w:i/>
          <w:vertAlign w:val="subscript"/>
        </w:rPr>
        <w:t>s</w:t>
      </w:r>
      <w:proofErr w:type="spellEnd"/>
      <w:r w:rsidRPr="00B876D9">
        <w:t xml:space="preserve"> = .</w:t>
      </w:r>
      <w:r>
        <w:t>321</w:t>
      </w:r>
      <w:r w:rsidRPr="00432FA2">
        <w:t xml:space="preserve">, </w:t>
      </w:r>
      <w:r w:rsidRPr="00A74A52">
        <w:rPr>
          <w:i/>
        </w:rPr>
        <w:t>p</w:t>
      </w:r>
      <w:r w:rsidRPr="00432FA2">
        <w:t xml:space="preserve"> </w:t>
      </w:r>
      <w:r>
        <w:t>=</w:t>
      </w:r>
      <w:r w:rsidRPr="00432FA2">
        <w:t xml:space="preserve"> .00</w:t>
      </w:r>
      <w:r>
        <w:t>7</w:t>
      </w:r>
      <w:r w:rsidR="007350C6">
        <w:t>, difference between correlation stre</w:t>
      </w:r>
      <w:bookmarkStart w:id="0" w:name="_GoBack"/>
      <w:bookmarkEnd w:id="0"/>
      <w:r w:rsidR="007350C6">
        <w:t xml:space="preserve">ngths, Z = 0.398, </w:t>
      </w:r>
      <w:r w:rsidR="007350C6" w:rsidRPr="00A74A52">
        <w:rPr>
          <w:i/>
        </w:rPr>
        <w:t>p</w:t>
      </w:r>
      <w:r w:rsidR="007350C6">
        <w:t xml:space="preserve"> = .691</w:t>
      </w:r>
      <w:r w:rsidRPr="004321AD">
        <w:t>.</w:t>
      </w:r>
      <w:r>
        <w:t xml:space="preserve"> </w:t>
      </w:r>
      <w:r w:rsidR="00C92A47">
        <w:t>We found no evidence that l</w:t>
      </w:r>
      <w:r>
        <w:t xml:space="preserve">ockdown </w:t>
      </w:r>
      <w:r w:rsidR="00C92A47">
        <w:t>status altered</w:t>
      </w:r>
      <w:r>
        <w:t xml:space="preserve"> the relationship between loot box spending and problem gambling group status.</w:t>
      </w:r>
    </w:p>
    <w:sectPr w:rsidR="00B32115" w:rsidRPr="0090748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B52D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B1D6" w16cex:dateUtc="2020-10-15T0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B52DB4" w16cid:durableId="2332B1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F9912" w14:textId="77777777" w:rsidR="00135A98" w:rsidRDefault="00135A98" w:rsidP="0090748A">
      <w:pPr>
        <w:spacing w:after="0" w:line="240" w:lineRule="auto"/>
      </w:pPr>
      <w:r>
        <w:separator/>
      </w:r>
    </w:p>
  </w:endnote>
  <w:endnote w:type="continuationSeparator" w:id="0">
    <w:p w14:paraId="2316BA5F" w14:textId="77777777" w:rsidR="00135A98" w:rsidRDefault="00135A98" w:rsidP="0090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32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9A699" w14:textId="3E6B0EB6" w:rsidR="0090748A" w:rsidRDefault="009074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7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DC62A0" w14:textId="77777777" w:rsidR="0090748A" w:rsidRDefault="00907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25E82" w14:textId="77777777" w:rsidR="00135A98" w:rsidRDefault="00135A98" w:rsidP="0090748A">
      <w:pPr>
        <w:spacing w:after="0" w:line="240" w:lineRule="auto"/>
      </w:pPr>
      <w:r>
        <w:separator/>
      </w:r>
    </w:p>
  </w:footnote>
  <w:footnote w:type="continuationSeparator" w:id="0">
    <w:p w14:paraId="3DAE0272" w14:textId="77777777" w:rsidR="00135A98" w:rsidRDefault="00135A98" w:rsidP="00907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F0F78"/>
    <w:multiLevelType w:val="hybridMultilevel"/>
    <w:tmpl w:val="1AB2A6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m Sauer">
    <w15:presenceInfo w15:providerId="AD" w15:userId="S::jim.sauer@utas.edu.au::07d842cc-70f2-4d1e-90ee-e78aa4dc17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32"/>
    <w:rsid w:val="00043224"/>
    <w:rsid w:val="00060A24"/>
    <w:rsid w:val="00083EBB"/>
    <w:rsid w:val="000A15F4"/>
    <w:rsid w:val="000A79B6"/>
    <w:rsid w:val="00135A98"/>
    <w:rsid w:val="001374C5"/>
    <w:rsid w:val="00183D4A"/>
    <w:rsid w:val="001915A6"/>
    <w:rsid w:val="001B7552"/>
    <w:rsid w:val="00255FF5"/>
    <w:rsid w:val="002606F1"/>
    <w:rsid w:val="002648F0"/>
    <w:rsid w:val="00273E58"/>
    <w:rsid w:val="00285AA9"/>
    <w:rsid w:val="00286B1A"/>
    <w:rsid w:val="00294320"/>
    <w:rsid w:val="002C4A95"/>
    <w:rsid w:val="002D026E"/>
    <w:rsid w:val="00364871"/>
    <w:rsid w:val="00395EC4"/>
    <w:rsid w:val="003D0FCE"/>
    <w:rsid w:val="00402C47"/>
    <w:rsid w:val="004101DA"/>
    <w:rsid w:val="00585D88"/>
    <w:rsid w:val="005D1EEA"/>
    <w:rsid w:val="00620552"/>
    <w:rsid w:val="006767B4"/>
    <w:rsid w:val="00690332"/>
    <w:rsid w:val="0069118B"/>
    <w:rsid w:val="007350C6"/>
    <w:rsid w:val="00801EF8"/>
    <w:rsid w:val="008C7243"/>
    <w:rsid w:val="008F75A4"/>
    <w:rsid w:val="0090748A"/>
    <w:rsid w:val="009170DD"/>
    <w:rsid w:val="00923832"/>
    <w:rsid w:val="00926ECA"/>
    <w:rsid w:val="0098006E"/>
    <w:rsid w:val="009D4779"/>
    <w:rsid w:val="009E32D7"/>
    <w:rsid w:val="009F5C19"/>
    <w:rsid w:val="00A33021"/>
    <w:rsid w:val="00A506E2"/>
    <w:rsid w:val="00A64FB7"/>
    <w:rsid w:val="00A74A52"/>
    <w:rsid w:val="00AC0CF2"/>
    <w:rsid w:val="00AD6535"/>
    <w:rsid w:val="00AF1BA5"/>
    <w:rsid w:val="00B17632"/>
    <w:rsid w:val="00B32115"/>
    <w:rsid w:val="00C20899"/>
    <w:rsid w:val="00C40ED2"/>
    <w:rsid w:val="00C92A47"/>
    <w:rsid w:val="00CA1747"/>
    <w:rsid w:val="00CC7005"/>
    <w:rsid w:val="00D94895"/>
    <w:rsid w:val="00DD6AAB"/>
    <w:rsid w:val="00E741C2"/>
    <w:rsid w:val="00E8035D"/>
    <w:rsid w:val="00E85B8A"/>
    <w:rsid w:val="00EE2FE3"/>
    <w:rsid w:val="00F13392"/>
    <w:rsid w:val="00F31FAC"/>
    <w:rsid w:val="00F715DB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9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01DA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26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8A"/>
  </w:style>
  <w:style w:type="paragraph" w:styleId="Footer">
    <w:name w:val="footer"/>
    <w:basedOn w:val="Normal"/>
    <w:link w:val="FooterChar"/>
    <w:uiPriority w:val="99"/>
    <w:unhideWhenUsed/>
    <w:rsid w:val="009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01DA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26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8A"/>
  </w:style>
  <w:style w:type="paragraph" w:styleId="Footer">
    <w:name w:val="footer"/>
    <w:basedOn w:val="Normal"/>
    <w:link w:val="FooterChar"/>
    <w:uiPriority w:val="99"/>
    <w:unhideWhenUsed/>
    <w:rsid w:val="009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8432-9140-4D45-844B-9682CA88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Drummond</dc:creator>
  <cp:lastModifiedBy>Lauren</cp:lastModifiedBy>
  <cp:revision>6</cp:revision>
  <dcterms:created xsi:type="dcterms:W3CDTF">2020-11-05T05:21:00Z</dcterms:created>
  <dcterms:modified xsi:type="dcterms:W3CDTF">2020-11-05T05:24:00Z</dcterms:modified>
</cp:coreProperties>
</file>