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5AF1B" w14:textId="6631B758" w:rsidR="00D65721" w:rsidRPr="006D2E70" w:rsidRDefault="00AE6813" w:rsidP="00C17C6E">
      <w:pPr>
        <w:widowControl/>
        <w:spacing w:before="240" w:after="120" w:line="260" w:lineRule="atLeast"/>
        <w:ind w:right="425"/>
        <w:rPr>
          <w:rFonts w:ascii="Times New Roman" w:eastAsia="Times New Roman" w:hAnsi="Times New Roman" w:cs="Times New Roman"/>
          <w:b/>
          <w:color w:val="000000"/>
          <w:kern w:val="0"/>
          <w:sz w:val="24"/>
          <w:szCs w:val="24"/>
          <w:lang w:eastAsia="de-DE" w:bidi="en-US"/>
        </w:rPr>
      </w:pPr>
      <w:bookmarkStart w:id="0" w:name="_Hlk46237290"/>
      <w:r w:rsidRPr="006D2E70">
        <w:rPr>
          <w:rFonts w:ascii="Times New Roman" w:eastAsia="Times New Roman" w:hAnsi="Times New Roman" w:cs="Times New Roman"/>
          <w:b/>
          <w:color w:val="000000"/>
          <w:kern w:val="0"/>
          <w:sz w:val="24"/>
          <w:szCs w:val="24"/>
          <w:lang w:eastAsia="de-DE" w:bidi="en-US"/>
        </w:rPr>
        <w:t>Table</w:t>
      </w:r>
      <w:r w:rsidR="00D65721" w:rsidRPr="006D2E70">
        <w:rPr>
          <w:rFonts w:ascii="Times New Roman" w:eastAsia="Times New Roman" w:hAnsi="Times New Roman" w:cs="Times New Roman"/>
          <w:b/>
          <w:color w:val="000000"/>
          <w:kern w:val="0"/>
          <w:sz w:val="24"/>
          <w:szCs w:val="24"/>
          <w:lang w:eastAsia="de-DE" w:bidi="en-US"/>
        </w:rPr>
        <w:t xml:space="preserve"> S</w:t>
      </w:r>
      <w:r w:rsidRPr="006D2E70">
        <w:rPr>
          <w:rFonts w:ascii="Times New Roman" w:eastAsia="Times New Roman" w:hAnsi="Times New Roman" w:cs="Times New Roman"/>
          <w:b/>
          <w:color w:val="000000"/>
          <w:kern w:val="0"/>
          <w:sz w:val="24"/>
          <w:szCs w:val="24"/>
          <w:lang w:eastAsia="de-DE" w:bidi="en-US"/>
        </w:rPr>
        <w:t>1</w:t>
      </w:r>
      <w:r w:rsidR="000B3A0A" w:rsidRPr="006D2E70">
        <w:rPr>
          <w:rFonts w:ascii="Times New Roman" w:eastAsia="Times New Roman" w:hAnsi="Times New Roman" w:cs="Times New Roman"/>
          <w:b/>
          <w:color w:val="000000"/>
          <w:kern w:val="0"/>
          <w:sz w:val="24"/>
          <w:szCs w:val="24"/>
          <w:lang w:eastAsia="de-DE" w:bidi="en-US"/>
        </w:rPr>
        <w:t xml:space="preserve">: </w:t>
      </w:r>
      <w:r w:rsidR="000B3A0A" w:rsidRPr="006D2E70">
        <w:rPr>
          <w:rFonts w:ascii="Times New Roman" w:eastAsia="Times New Roman" w:hAnsi="Times New Roman" w:cs="Times New Roman"/>
          <w:b/>
          <w:kern w:val="0"/>
          <w:sz w:val="24"/>
          <w:szCs w:val="24"/>
          <w:lang w:eastAsia="de-DE" w:bidi="en-US"/>
        </w:rPr>
        <w:t>The sequences of primers for qPCR.</w:t>
      </w:r>
      <w:bookmarkEnd w:id="0"/>
    </w:p>
    <w:tbl>
      <w:tblPr>
        <w:tblStyle w:val="af"/>
        <w:tblW w:w="10519" w:type="dxa"/>
        <w:tblInd w:w="-601" w:type="dxa"/>
        <w:tblLook w:val="04A0" w:firstRow="1" w:lastRow="0" w:firstColumn="1" w:lastColumn="0" w:noHBand="0" w:noVBand="1"/>
      </w:tblPr>
      <w:tblGrid>
        <w:gridCol w:w="1536"/>
        <w:gridCol w:w="1535"/>
        <w:gridCol w:w="2842"/>
        <w:gridCol w:w="2738"/>
        <w:gridCol w:w="1868"/>
      </w:tblGrid>
      <w:tr w:rsidR="000E4EB2" w:rsidRPr="006D2E70" w14:paraId="34B10CD4" w14:textId="77777777" w:rsidTr="00C17C6E">
        <w:trPr>
          <w:trHeight w:val="558"/>
        </w:trPr>
        <w:tc>
          <w:tcPr>
            <w:tcW w:w="1560" w:type="dxa"/>
            <w:vAlign w:val="center"/>
          </w:tcPr>
          <w:p w14:paraId="6044E20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 xml:space="preserve">Target genes in </w:t>
            </w:r>
            <w:r w:rsidRPr="006D2E70">
              <w:rPr>
                <w:rFonts w:ascii="Times New Roman" w:hAnsi="Times New Roman" w:cs="Times New Roman"/>
                <w:i/>
                <w:iCs/>
                <w:sz w:val="15"/>
                <w:szCs w:val="15"/>
              </w:rPr>
              <w:t xml:space="preserve">Hordeum vulgare </w:t>
            </w:r>
            <w:r w:rsidRPr="006D2E70">
              <w:rPr>
                <w:rFonts w:ascii="Times New Roman" w:hAnsi="Times New Roman" w:cs="Times New Roman"/>
                <w:sz w:val="15"/>
                <w:szCs w:val="15"/>
              </w:rPr>
              <w:t>L.</w:t>
            </w:r>
          </w:p>
        </w:tc>
        <w:tc>
          <w:tcPr>
            <w:tcW w:w="1562" w:type="dxa"/>
            <w:vAlign w:val="center"/>
          </w:tcPr>
          <w:p w14:paraId="4DA0EBF5"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 xml:space="preserve">Orthologous genes in </w:t>
            </w:r>
            <w:r w:rsidRPr="006D2E70">
              <w:rPr>
                <w:rFonts w:ascii="Times New Roman" w:hAnsi="Times New Roman" w:cs="Times New Roman"/>
                <w:i/>
                <w:iCs/>
                <w:sz w:val="15"/>
                <w:szCs w:val="15"/>
              </w:rPr>
              <w:t>Arabidopsis thaliana</w:t>
            </w:r>
          </w:p>
        </w:tc>
        <w:tc>
          <w:tcPr>
            <w:tcW w:w="2792" w:type="dxa"/>
            <w:vAlign w:val="center"/>
          </w:tcPr>
          <w:p w14:paraId="3188EAA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Sequence of upper primer for qPCR</w:t>
            </w:r>
          </w:p>
        </w:tc>
        <w:tc>
          <w:tcPr>
            <w:tcW w:w="2688" w:type="dxa"/>
            <w:vAlign w:val="center"/>
          </w:tcPr>
          <w:p w14:paraId="6C9FAC10"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Sequence of lower primer for qPCR</w:t>
            </w:r>
          </w:p>
        </w:tc>
        <w:tc>
          <w:tcPr>
            <w:tcW w:w="1917" w:type="dxa"/>
            <w:vAlign w:val="center"/>
          </w:tcPr>
          <w:p w14:paraId="4498CB03"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References</w:t>
            </w:r>
          </w:p>
        </w:tc>
      </w:tr>
      <w:tr w:rsidR="000E4EB2" w:rsidRPr="006D2E70" w14:paraId="6C19AE75" w14:textId="77777777" w:rsidTr="00C17C6E">
        <w:tc>
          <w:tcPr>
            <w:tcW w:w="1560" w:type="dxa"/>
            <w:vAlign w:val="center"/>
          </w:tcPr>
          <w:p w14:paraId="0745F996"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HvCCA1</w:t>
            </w:r>
          </w:p>
          <w:p w14:paraId="2284976E"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(N603242)</w:t>
            </w:r>
          </w:p>
        </w:tc>
        <w:tc>
          <w:tcPr>
            <w:tcW w:w="1562" w:type="dxa"/>
            <w:vAlign w:val="center"/>
          </w:tcPr>
          <w:p w14:paraId="53B229AE"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AtCCA1</w:t>
            </w:r>
          </w:p>
          <w:p w14:paraId="74F5E66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(At2g46830)</w:t>
            </w:r>
          </w:p>
        </w:tc>
        <w:tc>
          <w:tcPr>
            <w:tcW w:w="2792" w:type="dxa"/>
            <w:vAlign w:val="center"/>
          </w:tcPr>
          <w:p w14:paraId="1895EB38" w14:textId="60953C03"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5’-CCAGCAGCAGACAGCAACATCC-3</w:t>
            </w:r>
            <w:r w:rsidR="00154514" w:rsidRPr="006D2E70">
              <w:rPr>
                <w:rFonts w:ascii="Times New Roman" w:eastAsia="等线" w:hAnsi="Times New Roman" w:cs="Times New Roman"/>
                <w:color w:val="000000"/>
                <w:sz w:val="15"/>
                <w:szCs w:val="15"/>
              </w:rPr>
              <w:t>’</w:t>
            </w:r>
          </w:p>
        </w:tc>
        <w:tc>
          <w:tcPr>
            <w:tcW w:w="2688" w:type="dxa"/>
            <w:vAlign w:val="center"/>
          </w:tcPr>
          <w:p w14:paraId="4A6D947E" w14:textId="232B1AD3"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5’-CCGAAGCCGCAGCAACTGTAG-3</w:t>
            </w:r>
            <w:r w:rsidR="00154514" w:rsidRPr="006D2E70">
              <w:rPr>
                <w:rFonts w:ascii="Times New Roman" w:eastAsia="等线" w:hAnsi="Times New Roman" w:cs="Times New Roman"/>
                <w:color w:val="000000"/>
                <w:sz w:val="15"/>
                <w:szCs w:val="15"/>
              </w:rPr>
              <w:t>’</w:t>
            </w:r>
          </w:p>
        </w:tc>
        <w:tc>
          <w:tcPr>
            <w:tcW w:w="1917" w:type="dxa"/>
            <w:vAlign w:val="center"/>
          </w:tcPr>
          <w:p w14:paraId="68E674BF"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(Campoli et al. 2012)</w:t>
            </w:r>
          </w:p>
        </w:tc>
      </w:tr>
      <w:tr w:rsidR="000E4EB2" w:rsidRPr="006D2E70" w14:paraId="19700B67" w14:textId="77777777" w:rsidTr="00C17C6E">
        <w:tc>
          <w:tcPr>
            <w:tcW w:w="1560" w:type="dxa"/>
            <w:vAlign w:val="center"/>
          </w:tcPr>
          <w:p w14:paraId="3046AE00"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HvTOC1</w:t>
            </w:r>
          </w:p>
          <w:p w14:paraId="228DF444"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(HQ850268)</w:t>
            </w:r>
          </w:p>
        </w:tc>
        <w:tc>
          <w:tcPr>
            <w:tcW w:w="1562" w:type="dxa"/>
            <w:vAlign w:val="center"/>
          </w:tcPr>
          <w:p w14:paraId="3AE0AC5F"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AtTOC1</w:t>
            </w:r>
          </w:p>
          <w:p w14:paraId="58417FEB"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(At5g61380)</w:t>
            </w:r>
          </w:p>
        </w:tc>
        <w:tc>
          <w:tcPr>
            <w:tcW w:w="2792" w:type="dxa"/>
            <w:vAlign w:val="center"/>
          </w:tcPr>
          <w:p w14:paraId="63D5382E" w14:textId="582C2CDC"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5’-TCCAGGGACGTTGAGTTGGTT-3</w:t>
            </w:r>
            <w:r w:rsidR="00154514" w:rsidRPr="006D2E70">
              <w:rPr>
                <w:rFonts w:ascii="Times New Roman" w:eastAsia="等线" w:hAnsi="Times New Roman" w:cs="Times New Roman"/>
                <w:color w:val="000000"/>
                <w:sz w:val="15"/>
                <w:szCs w:val="15"/>
              </w:rPr>
              <w:t>’</w:t>
            </w:r>
          </w:p>
        </w:tc>
        <w:tc>
          <w:tcPr>
            <w:tcW w:w="2688" w:type="dxa"/>
            <w:vAlign w:val="center"/>
          </w:tcPr>
          <w:p w14:paraId="05D92670" w14:textId="2275FB01"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5’-TTTTGAGCGGTTGGGGGTTG-3</w:t>
            </w:r>
            <w:r w:rsidR="00154514" w:rsidRPr="006D2E70">
              <w:rPr>
                <w:rFonts w:ascii="Times New Roman" w:eastAsia="等线" w:hAnsi="Times New Roman" w:cs="Times New Roman"/>
                <w:color w:val="000000"/>
                <w:sz w:val="15"/>
                <w:szCs w:val="15"/>
              </w:rPr>
              <w:t>’</w:t>
            </w:r>
          </w:p>
        </w:tc>
        <w:tc>
          <w:tcPr>
            <w:tcW w:w="1917" w:type="dxa"/>
            <w:vAlign w:val="center"/>
          </w:tcPr>
          <w:p w14:paraId="76A45579"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(Deng et al. 2015)</w:t>
            </w:r>
          </w:p>
        </w:tc>
      </w:tr>
      <w:tr w:rsidR="000E4EB2" w:rsidRPr="006D2E70" w14:paraId="4362C3E5" w14:textId="77777777" w:rsidTr="00C17C6E">
        <w:tc>
          <w:tcPr>
            <w:tcW w:w="1560" w:type="dxa"/>
            <w:vAlign w:val="center"/>
          </w:tcPr>
          <w:p w14:paraId="7A723F6A" w14:textId="77777777" w:rsidR="000E4EB2" w:rsidRPr="006D2E70" w:rsidRDefault="000E4EB2" w:rsidP="000E4EB2">
            <w:pPr>
              <w:jc w:val="center"/>
              <w:rPr>
                <w:rFonts w:ascii="Times New Roman" w:hAnsi="Times New Roman" w:cs="Times New Roman"/>
                <w:i/>
                <w:iCs/>
                <w:sz w:val="15"/>
                <w:szCs w:val="15"/>
              </w:rPr>
            </w:pPr>
            <w:proofErr w:type="spellStart"/>
            <w:r w:rsidRPr="006D2E70">
              <w:rPr>
                <w:rFonts w:ascii="Times New Roman" w:hAnsi="Times New Roman" w:cs="Times New Roman"/>
                <w:i/>
                <w:iCs/>
                <w:sz w:val="15"/>
                <w:szCs w:val="15"/>
              </w:rPr>
              <w:t>HvGI</w:t>
            </w:r>
            <w:proofErr w:type="spellEnd"/>
          </w:p>
          <w:p w14:paraId="0BF7ACEA"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(AY740524)</w:t>
            </w:r>
          </w:p>
        </w:tc>
        <w:tc>
          <w:tcPr>
            <w:tcW w:w="1562" w:type="dxa"/>
            <w:vAlign w:val="center"/>
          </w:tcPr>
          <w:p w14:paraId="37B13399" w14:textId="77777777" w:rsidR="000E4EB2" w:rsidRPr="006D2E70" w:rsidRDefault="000E4EB2" w:rsidP="000E4EB2">
            <w:pPr>
              <w:jc w:val="center"/>
              <w:rPr>
                <w:rFonts w:ascii="Times New Roman" w:hAnsi="Times New Roman" w:cs="Times New Roman"/>
                <w:i/>
                <w:iCs/>
                <w:sz w:val="15"/>
                <w:szCs w:val="15"/>
              </w:rPr>
            </w:pPr>
            <w:proofErr w:type="spellStart"/>
            <w:r w:rsidRPr="006D2E70">
              <w:rPr>
                <w:rFonts w:ascii="Times New Roman" w:hAnsi="Times New Roman" w:cs="Times New Roman"/>
                <w:i/>
                <w:iCs/>
                <w:sz w:val="15"/>
                <w:szCs w:val="15"/>
              </w:rPr>
              <w:t>AtGI</w:t>
            </w:r>
            <w:proofErr w:type="spellEnd"/>
          </w:p>
          <w:p w14:paraId="24153CF7"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(At1g22770)</w:t>
            </w:r>
          </w:p>
        </w:tc>
        <w:tc>
          <w:tcPr>
            <w:tcW w:w="2792" w:type="dxa"/>
            <w:vAlign w:val="center"/>
          </w:tcPr>
          <w:p w14:paraId="5DD0950A" w14:textId="31C1D1BC"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5’-AGGCGAAATGGTAATGTTGC-3</w:t>
            </w:r>
            <w:r w:rsidR="00154514" w:rsidRPr="006D2E70">
              <w:rPr>
                <w:rFonts w:ascii="Times New Roman" w:eastAsia="等线" w:hAnsi="Times New Roman" w:cs="Times New Roman"/>
                <w:color w:val="000000"/>
                <w:sz w:val="15"/>
                <w:szCs w:val="15"/>
              </w:rPr>
              <w:t>’</w:t>
            </w:r>
          </w:p>
        </w:tc>
        <w:tc>
          <w:tcPr>
            <w:tcW w:w="2688" w:type="dxa"/>
            <w:vAlign w:val="center"/>
          </w:tcPr>
          <w:p w14:paraId="25F27B26" w14:textId="731FB52A"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5’-CAGACATCTGCGTTTCAGGA-3</w:t>
            </w:r>
            <w:r w:rsidR="00154514" w:rsidRPr="006D2E70">
              <w:rPr>
                <w:rFonts w:ascii="Times New Roman" w:eastAsia="等线" w:hAnsi="Times New Roman" w:cs="Times New Roman"/>
                <w:color w:val="000000"/>
                <w:sz w:val="15"/>
                <w:szCs w:val="15"/>
              </w:rPr>
              <w:t>’</w:t>
            </w:r>
          </w:p>
        </w:tc>
        <w:tc>
          <w:tcPr>
            <w:tcW w:w="1917" w:type="dxa"/>
            <w:vAlign w:val="center"/>
          </w:tcPr>
          <w:p w14:paraId="626B2477"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(Dunford et al. 2005)</w:t>
            </w:r>
          </w:p>
        </w:tc>
      </w:tr>
      <w:tr w:rsidR="000E4EB2" w:rsidRPr="006D2E70" w14:paraId="2EFE8299" w14:textId="77777777" w:rsidTr="00C17C6E">
        <w:tc>
          <w:tcPr>
            <w:tcW w:w="1560" w:type="dxa"/>
            <w:vAlign w:val="center"/>
          </w:tcPr>
          <w:p w14:paraId="3F01F9CA"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HvPRR73</w:t>
            </w:r>
          </w:p>
          <w:p w14:paraId="49D88CCE"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(AK376549)</w:t>
            </w:r>
          </w:p>
        </w:tc>
        <w:tc>
          <w:tcPr>
            <w:tcW w:w="1562" w:type="dxa"/>
            <w:vAlign w:val="center"/>
          </w:tcPr>
          <w:p w14:paraId="139E8D2F"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AtPRR7</w:t>
            </w:r>
          </w:p>
          <w:p w14:paraId="449B0F74"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(At5g02810)</w:t>
            </w:r>
          </w:p>
        </w:tc>
        <w:tc>
          <w:tcPr>
            <w:tcW w:w="2792" w:type="dxa"/>
            <w:vAlign w:val="center"/>
          </w:tcPr>
          <w:p w14:paraId="0BACA4A5" w14:textId="7397DCA8"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5’-GCAACATTTCGGGGAAGCTG-3</w:t>
            </w:r>
            <w:r w:rsidR="00154514" w:rsidRPr="006D2E70">
              <w:rPr>
                <w:rFonts w:ascii="Times New Roman" w:eastAsia="等线" w:hAnsi="Times New Roman" w:cs="Times New Roman"/>
                <w:color w:val="000000"/>
                <w:sz w:val="15"/>
                <w:szCs w:val="15"/>
              </w:rPr>
              <w:t>’</w:t>
            </w:r>
          </w:p>
        </w:tc>
        <w:tc>
          <w:tcPr>
            <w:tcW w:w="2688" w:type="dxa"/>
            <w:vAlign w:val="center"/>
          </w:tcPr>
          <w:p w14:paraId="7934F6B3" w14:textId="09E6B7A4"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5’-TGCCATTTGAGCCCTGCTTT-3</w:t>
            </w:r>
            <w:r w:rsidR="00154514" w:rsidRPr="006D2E70">
              <w:rPr>
                <w:rFonts w:ascii="Times New Roman" w:eastAsia="等线" w:hAnsi="Times New Roman" w:cs="Times New Roman"/>
                <w:color w:val="000000"/>
                <w:sz w:val="15"/>
                <w:szCs w:val="15"/>
              </w:rPr>
              <w:t>’</w:t>
            </w:r>
          </w:p>
        </w:tc>
        <w:tc>
          <w:tcPr>
            <w:tcW w:w="1917" w:type="dxa"/>
            <w:vAlign w:val="center"/>
          </w:tcPr>
          <w:p w14:paraId="7FE92A08"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(Campoli et al. 2012)</w:t>
            </w:r>
          </w:p>
        </w:tc>
      </w:tr>
      <w:tr w:rsidR="000E4EB2" w:rsidRPr="006D2E70" w14:paraId="46CBD162" w14:textId="77777777" w:rsidTr="00C17C6E">
        <w:tc>
          <w:tcPr>
            <w:tcW w:w="1560" w:type="dxa"/>
            <w:vAlign w:val="center"/>
          </w:tcPr>
          <w:p w14:paraId="74E4EDA3"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HvPRR95</w:t>
            </w:r>
          </w:p>
          <w:p w14:paraId="0D7D800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(AK252005)</w:t>
            </w:r>
          </w:p>
        </w:tc>
        <w:tc>
          <w:tcPr>
            <w:tcW w:w="1562" w:type="dxa"/>
            <w:vAlign w:val="center"/>
          </w:tcPr>
          <w:p w14:paraId="22A633B0"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AtPRR5</w:t>
            </w:r>
          </w:p>
          <w:p w14:paraId="5D19ACEB"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(At5g24470)</w:t>
            </w:r>
          </w:p>
        </w:tc>
        <w:tc>
          <w:tcPr>
            <w:tcW w:w="2792" w:type="dxa"/>
            <w:vAlign w:val="center"/>
          </w:tcPr>
          <w:p w14:paraId="3D0BA63D" w14:textId="23F8FE30"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5’-TGCACGTTGAAATCCCCTCA-3</w:t>
            </w:r>
            <w:r w:rsidR="00154514" w:rsidRPr="006D2E70">
              <w:rPr>
                <w:rFonts w:ascii="Times New Roman" w:eastAsia="等线" w:hAnsi="Times New Roman" w:cs="Times New Roman"/>
                <w:color w:val="000000"/>
                <w:sz w:val="15"/>
                <w:szCs w:val="15"/>
              </w:rPr>
              <w:t>’</w:t>
            </w:r>
          </w:p>
        </w:tc>
        <w:tc>
          <w:tcPr>
            <w:tcW w:w="2688" w:type="dxa"/>
            <w:vAlign w:val="center"/>
          </w:tcPr>
          <w:p w14:paraId="02F53719" w14:textId="74CA247D"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5’-GATGCAACCCCTCCATGCTT-3</w:t>
            </w:r>
            <w:r w:rsidR="00154514" w:rsidRPr="006D2E70">
              <w:rPr>
                <w:rFonts w:ascii="Times New Roman" w:eastAsia="等线" w:hAnsi="Times New Roman" w:cs="Times New Roman"/>
                <w:color w:val="000000"/>
                <w:sz w:val="15"/>
                <w:szCs w:val="15"/>
              </w:rPr>
              <w:t>’</w:t>
            </w:r>
          </w:p>
        </w:tc>
        <w:tc>
          <w:tcPr>
            <w:tcW w:w="1917" w:type="dxa"/>
            <w:vAlign w:val="center"/>
          </w:tcPr>
          <w:p w14:paraId="144F71C2"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(Campoli et al. 2012)</w:t>
            </w:r>
          </w:p>
        </w:tc>
      </w:tr>
      <w:tr w:rsidR="000E4EB2" w:rsidRPr="006D2E70" w14:paraId="553CB576" w14:textId="77777777" w:rsidTr="00C17C6E">
        <w:tc>
          <w:tcPr>
            <w:tcW w:w="1560" w:type="dxa"/>
            <w:vAlign w:val="center"/>
          </w:tcPr>
          <w:p w14:paraId="142C6609"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HvPRR59</w:t>
            </w:r>
          </w:p>
          <w:p w14:paraId="06531B0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(AK361360)</w:t>
            </w:r>
          </w:p>
        </w:tc>
        <w:tc>
          <w:tcPr>
            <w:tcW w:w="1562" w:type="dxa"/>
            <w:vAlign w:val="center"/>
          </w:tcPr>
          <w:p w14:paraId="3D41628B"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AtPRR9</w:t>
            </w:r>
          </w:p>
          <w:p w14:paraId="106E3768"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(At2g46790)</w:t>
            </w:r>
          </w:p>
        </w:tc>
        <w:tc>
          <w:tcPr>
            <w:tcW w:w="2792" w:type="dxa"/>
            <w:vAlign w:val="center"/>
          </w:tcPr>
          <w:p w14:paraId="6F503A24" w14:textId="223C334F"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5’-AGTGGGGTTTTGCCCTCACA-3</w:t>
            </w:r>
            <w:r w:rsidR="00154514" w:rsidRPr="006D2E70">
              <w:rPr>
                <w:rFonts w:ascii="Times New Roman" w:eastAsia="等线" w:hAnsi="Times New Roman" w:cs="Times New Roman"/>
                <w:color w:val="000000"/>
                <w:sz w:val="15"/>
                <w:szCs w:val="15"/>
              </w:rPr>
              <w:t>’</w:t>
            </w:r>
          </w:p>
        </w:tc>
        <w:tc>
          <w:tcPr>
            <w:tcW w:w="2688" w:type="dxa"/>
            <w:vAlign w:val="center"/>
          </w:tcPr>
          <w:p w14:paraId="73D35B1B" w14:textId="6EA616EB"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5’-GCAGCACCAACAGGAATTGG-3</w:t>
            </w:r>
            <w:r w:rsidR="00154514" w:rsidRPr="006D2E70">
              <w:rPr>
                <w:rFonts w:ascii="Times New Roman" w:eastAsia="等线" w:hAnsi="Times New Roman" w:cs="Times New Roman"/>
                <w:color w:val="000000"/>
                <w:sz w:val="15"/>
                <w:szCs w:val="15"/>
              </w:rPr>
              <w:t>’</w:t>
            </w:r>
          </w:p>
        </w:tc>
        <w:tc>
          <w:tcPr>
            <w:tcW w:w="1917" w:type="dxa"/>
            <w:vAlign w:val="center"/>
          </w:tcPr>
          <w:p w14:paraId="0E5B0788"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(Campoli et al. 2012)</w:t>
            </w:r>
          </w:p>
        </w:tc>
      </w:tr>
      <w:tr w:rsidR="000E4EB2" w:rsidRPr="006D2E70" w14:paraId="0F72D78A" w14:textId="77777777" w:rsidTr="00C17C6E">
        <w:tc>
          <w:tcPr>
            <w:tcW w:w="1560" w:type="dxa"/>
            <w:vAlign w:val="center"/>
          </w:tcPr>
          <w:p w14:paraId="150A4D88" w14:textId="77777777" w:rsidR="000E4EB2" w:rsidRPr="006D2E70" w:rsidRDefault="000E4EB2" w:rsidP="000E4EB2">
            <w:pPr>
              <w:jc w:val="center"/>
              <w:rPr>
                <w:rFonts w:ascii="Times New Roman" w:hAnsi="Times New Roman" w:cs="Times New Roman"/>
                <w:i/>
                <w:iCs/>
                <w:sz w:val="15"/>
                <w:szCs w:val="15"/>
              </w:rPr>
            </w:pPr>
            <w:proofErr w:type="spellStart"/>
            <w:r w:rsidRPr="006D2E70">
              <w:rPr>
                <w:rFonts w:ascii="Times New Roman" w:hAnsi="Times New Roman" w:cs="Times New Roman"/>
                <w:i/>
                <w:iCs/>
                <w:sz w:val="15"/>
                <w:szCs w:val="15"/>
              </w:rPr>
              <w:t>HvLUX</w:t>
            </w:r>
            <w:proofErr w:type="spellEnd"/>
          </w:p>
          <w:p w14:paraId="474D0FD4"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(AK357505)</w:t>
            </w:r>
          </w:p>
        </w:tc>
        <w:tc>
          <w:tcPr>
            <w:tcW w:w="1562" w:type="dxa"/>
            <w:vAlign w:val="center"/>
          </w:tcPr>
          <w:p w14:paraId="72652568" w14:textId="77777777" w:rsidR="000E4EB2" w:rsidRPr="006D2E70" w:rsidRDefault="000E4EB2" w:rsidP="000E4EB2">
            <w:pPr>
              <w:jc w:val="center"/>
              <w:rPr>
                <w:rFonts w:ascii="Times New Roman" w:hAnsi="Times New Roman" w:cs="Times New Roman"/>
                <w:i/>
                <w:iCs/>
                <w:sz w:val="15"/>
                <w:szCs w:val="15"/>
              </w:rPr>
            </w:pPr>
            <w:proofErr w:type="spellStart"/>
            <w:r w:rsidRPr="006D2E70">
              <w:rPr>
                <w:rFonts w:ascii="Times New Roman" w:hAnsi="Times New Roman" w:cs="Times New Roman"/>
                <w:i/>
                <w:iCs/>
                <w:sz w:val="15"/>
                <w:szCs w:val="15"/>
              </w:rPr>
              <w:t>AtLUX</w:t>
            </w:r>
            <w:proofErr w:type="spellEnd"/>
          </w:p>
          <w:p w14:paraId="2D590E7A"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(At3g46640)</w:t>
            </w:r>
          </w:p>
        </w:tc>
        <w:tc>
          <w:tcPr>
            <w:tcW w:w="2792" w:type="dxa"/>
            <w:vAlign w:val="center"/>
          </w:tcPr>
          <w:p w14:paraId="4C8D365C" w14:textId="7A891631"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5’-AATTCAGTCCACGGATGCTC-3</w:t>
            </w:r>
            <w:r w:rsidR="00154514" w:rsidRPr="006D2E70">
              <w:rPr>
                <w:rFonts w:ascii="Times New Roman" w:eastAsia="等线" w:hAnsi="Times New Roman" w:cs="Times New Roman"/>
                <w:color w:val="000000"/>
                <w:sz w:val="15"/>
                <w:szCs w:val="15"/>
              </w:rPr>
              <w:t>’</w:t>
            </w:r>
          </w:p>
        </w:tc>
        <w:tc>
          <w:tcPr>
            <w:tcW w:w="2688" w:type="dxa"/>
            <w:vAlign w:val="center"/>
          </w:tcPr>
          <w:p w14:paraId="606B51AB" w14:textId="71589702"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5’-CTTCACTTCAGCTCCCCTTG-3</w:t>
            </w:r>
            <w:r w:rsidR="00154514" w:rsidRPr="006D2E70">
              <w:rPr>
                <w:rFonts w:ascii="Times New Roman" w:eastAsia="等线" w:hAnsi="Times New Roman" w:cs="Times New Roman"/>
                <w:color w:val="000000"/>
                <w:sz w:val="15"/>
                <w:szCs w:val="15"/>
              </w:rPr>
              <w:t>’</w:t>
            </w:r>
          </w:p>
        </w:tc>
        <w:tc>
          <w:tcPr>
            <w:tcW w:w="1917" w:type="dxa"/>
            <w:vAlign w:val="center"/>
          </w:tcPr>
          <w:p w14:paraId="1028FCB1" w14:textId="7777777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(Campoli et al. 2013)</w:t>
            </w:r>
          </w:p>
        </w:tc>
      </w:tr>
      <w:tr w:rsidR="000E4EB2" w:rsidRPr="006D2E70" w14:paraId="654E8C67" w14:textId="77777777" w:rsidTr="00C17C6E">
        <w:tc>
          <w:tcPr>
            <w:tcW w:w="1560" w:type="dxa"/>
            <w:vAlign w:val="center"/>
          </w:tcPr>
          <w:p w14:paraId="43C37651"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HvELF3</w:t>
            </w:r>
          </w:p>
          <w:p w14:paraId="3C9EC935"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(KY284997)</w:t>
            </w:r>
          </w:p>
        </w:tc>
        <w:tc>
          <w:tcPr>
            <w:tcW w:w="1562" w:type="dxa"/>
            <w:vAlign w:val="center"/>
          </w:tcPr>
          <w:p w14:paraId="3299D08B" w14:textId="77777777" w:rsidR="000E4EB2" w:rsidRPr="006D2E70" w:rsidRDefault="000E4EB2"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AtELF3</w:t>
            </w:r>
          </w:p>
          <w:p w14:paraId="51E2399D" w14:textId="77777777" w:rsidR="000E4EB2" w:rsidRPr="006D2E70" w:rsidRDefault="000E4EB2" w:rsidP="000E4EB2">
            <w:pPr>
              <w:jc w:val="center"/>
              <w:rPr>
                <w:rFonts w:ascii="Times New Roman" w:hAnsi="Times New Roman" w:cs="Times New Roman"/>
                <w:sz w:val="15"/>
                <w:szCs w:val="15"/>
              </w:rPr>
            </w:pPr>
            <w:r w:rsidRPr="006D2E70">
              <w:rPr>
                <w:rFonts w:ascii="Times New Roman" w:hAnsi="Times New Roman" w:cs="Times New Roman"/>
                <w:sz w:val="15"/>
                <w:szCs w:val="15"/>
              </w:rPr>
              <w:t>(At2g25930)</w:t>
            </w:r>
          </w:p>
        </w:tc>
        <w:tc>
          <w:tcPr>
            <w:tcW w:w="2792" w:type="dxa"/>
            <w:vAlign w:val="center"/>
          </w:tcPr>
          <w:p w14:paraId="6EC9230F" w14:textId="7825545A"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5’-CCTACCGACAACAAGCAGAA-3</w:t>
            </w:r>
            <w:r w:rsidR="00154514" w:rsidRPr="006D2E70">
              <w:rPr>
                <w:rFonts w:ascii="Times New Roman" w:eastAsia="等线" w:hAnsi="Times New Roman" w:cs="Times New Roman"/>
                <w:color w:val="000000"/>
                <w:sz w:val="15"/>
                <w:szCs w:val="15"/>
              </w:rPr>
              <w:t>’</w:t>
            </w:r>
          </w:p>
        </w:tc>
        <w:tc>
          <w:tcPr>
            <w:tcW w:w="2688" w:type="dxa"/>
            <w:vAlign w:val="center"/>
          </w:tcPr>
          <w:p w14:paraId="3552ED49" w14:textId="4B21F8F4" w:rsidR="000E4EB2" w:rsidRPr="006D2E70" w:rsidRDefault="000E4EB2" w:rsidP="000E4EB2">
            <w:pPr>
              <w:jc w:val="center"/>
              <w:rPr>
                <w:rFonts w:ascii="Times New Roman" w:hAnsi="Times New Roman" w:cs="Times New Roman"/>
                <w:sz w:val="15"/>
                <w:szCs w:val="15"/>
              </w:rPr>
            </w:pPr>
            <w:r w:rsidRPr="006D2E70">
              <w:rPr>
                <w:rFonts w:ascii="Times New Roman" w:eastAsia="等线" w:hAnsi="Times New Roman" w:cs="Times New Roman"/>
                <w:color w:val="000000"/>
                <w:sz w:val="15"/>
                <w:szCs w:val="15"/>
              </w:rPr>
              <w:t>5’-CATGAATTCCCCAGCTGTAG-3</w:t>
            </w:r>
            <w:r w:rsidR="00154514" w:rsidRPr="006D2E70">
              <w:rPr>
                <w:rFonts w:ascii="Times New Roman" w:eastAsia="等线" w:hAnsi="Times New Roman" w:cs="Times New Roman"/>
                <w:color w:val="000000"/>
                <w:sz w:val="15"/>
                <w:szCs w:val="15"/>
              </w:rPr>
              <w:t>’</w:t>
            </w:r>
          </w:p>
        </w:tc>
        <w:tc>
          <w:tcPr>
            <w:tcW w:w="1917" w:type="dxa"/>
            <w:vAlign w:val="center"/>
          </w:tcPr>
          <w:p w14:paraId="4965E6A8" w14:textId="25827C87" w:rsidR="000E4EB2" w:rsidRPr="006D2E70" w:rsidRDefault="000E4EB2"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noProof/>
                <w:color w:val="000000"/>
                <w:sz w:val="15"/>
                <w:szCs w:val="15"/>
              </w:rPr>
              <w:t>(Xia et al. 2017)</w:t>
            </w:r>
          </w:p>
        </w:tc>
      </w:tr>
      <w:tr w:rsidR="005C59BA" w:rsidRPr="006D2E70" w14:paraId="43C84307" w14:textId="77777777" w:rsidTr="00C17C6E">
        <w:tc>
          <w:tcPr>
            <w:tcW w:w="1560" w:type="dxa"/>
            <w:vAlign w:val="center"/>
          </w:tcPr>
          <w:p w14:paraId="7F29F24A" w14:textId="77777777" w:rsidR="005C59BA" w:rsidRPr="006D2E70" w:rsidRDefault="005C59BA" w:rsidP="000E4EB2">
            <w:pPr>
              <w:jc w:val="center"/>
              <w:rPr>
                <w:rFonts w:ascii="Times New Roman" w:hAnsi="Times New Roman" w:cs="Times New Roman"/>
                <w:i/>
                <w:iCs/>
                <w:sz w:val="15"/>
                <w:szCs w:val="15"/>
              </w:rPr>
            </w:pPr>
            <w:r w:rsidRPr="006D2E70">
              <w:rPr>
                <w:rFonts w:ascii="Times New Roman" w:hAnsi="Times New Roman" w:cs="Times New Roman"/>
                <w:i/>
                <w:iCs/>
                <w:sz w:val="15"/>
                <w:szCs w:val="15"/>
              </w:rPr>
              <w:t>HvEF-1α</w:t>
            </w:r>
          </w:p>
          <w:p w14:paraId="7745BC7A" w14:textId="6AE1F094" w:rsidR="005C59BA" w:rsidRPr="006D2E70" w:rsidRDefault="005C59BA" w:rsidP="000E4EB2">
            <w:pPr>
              <w:jc w:val="center"/>
              <w:rPr>
                <w:rFonts w:ascii="Times New Roman" w:hAnsi="Times New Roman" w:cs="Times New Roman"/>
                <w:sz w:val="15"/>
                <w:szCs w:val="15"/>
              </w:rPr>
            </w:pPr>
            <w:r w:rsidRPr="006D2E70">
              <w:rPr>
                <w:rFonts w:ascii="Times New Roman" w:hAnsi="Times New Roman" w:cs="Times New Roman"/>
                <w:sz w:val="15"/>
                <w:szCs w:val="15"/>
              </w:rPr>
              <w:t>(JN107538.1)</w:t>
            </w:r>
          </w:p>
        </w:tc>
        <w:tc>
          <w:tcPr>
            <w:tcW w:w="1562" w:type="dxa"/>
            <w:vAlign w:val="center"/>
          </w:tcPr>
          <w:p w14:paraId="495C9D70" w14:textId="05C6C17C" w:rsidR="005C59BA" w:rsidRPr="00AD61DB" w:rsidRDefault="00AD61DB" w:rsidP="000E4EB2">
            <w:pPr>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2792" w:type="dxa"/>
            <w:vAlign w:val="center"/>
          </w:tcPr>
          <w:p w14:paraId="0110BB1E" w14:textId="776AD839" w:rsidR="005C59BA" w:rsidRPr="006D2E70" w:rsidRDefault="005C59BA"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color w:val="000000"/>
                <w:sz w:val="15"/>
                <w:szCs w:val="15"/>
              </w:rPr>
              <w:t>5’-CCAACTTCACTGCCCAGGTCA-3’</w:t>
            </w:r>
          </w:p>
        </w:tc>
        <w:tc>
          <w:tcPr>
            <w:tcW w:w="2688" w:type="dxa"/>
            <w:vAlign w:val="center"/>
          </w:tcPr>
          <w:p w14:paraId="79E710D0" w14:textId="1A087101" w:rsidR="005C59BA" w:rsidRPr="006D2E70" w:rsidRDefault="005C59BA" w:rsidP="000E4EB2">
            <w:pPr>
              <w:jc w:val="center"/>
              <w:rPr>
                <w:rFonts w:ascii="Times New Roman" w:eastAsia="等线" w:hAnsi="Times New Roman" w:cs="Times New Roman"/>
                <w:color w:val="000000"/>
                <w:sz w:val="15"/>
                <w:szCs w:val="15"/>
              </w:rPr>
            </w:pPr>
            <w:r w:rsidRPr="006D2E70">
              <w:rPr>
                <w:rFonts w:ascii="Times New Roman" w:eastAsia="等线" w:hAnsi="Times New Roman" w:cs="Times New Roman"/>
                <w:color w:val="000000"/>
                <w:sz w:val="15"/>
                <w:szCs w:val="15"/>
              </w:rPr>
              <w:t>5’-CACAGCAACCGTCTGCCTCAT-3’</w:t>
            </w:r>
          </w:p>
        </w:tc>
        <w:tc>
          <w:tcPr>
            <w:tcW w:w="1917" w:type="dxa"/>
            <w:vAlign w:val="center"/>
          </w:tcPr>
          <w:p w14:paraId="307CEE21" w14:textId="54CA01EE" w:rsidR="005C59BA" w:rsidRPr="006D2E70" w:rsidRDefault="005C59BA" w:rsidP="000E4EB2">
            <w:pPr>
              <w:jc w:val="center"/>
              <w:rPr>
                <w:rFonts w:ascii="Times New Roman" w:eastAsia="等线" w:hAnsi="Times New Roman" w:cs="Times New Roman"/>
                <w:noProof/>
                <w:color w:val="000000"/>
                <w:sz w:val="15"/>
                <w:szCs w:val="15"/>
              </w:rPr>
            </w:pPr>
            <w:r w:rsidRPr="006D2E70">
              <w:rPr>
                <w:rFonts w:ascii="Times New Roman" w:eastAsia="等线" w:hAnsi="Times New Roman" w:cs="Times New Roman"/>
                <w:noProof/>
                <w:color w:val="000000"/>
                <w:sz w:val="15"/>
                <w:szCs w:val="15"/>
              </w:rPr>
              <w:t>(Cai et al. 2018)</w:t>
            </w:r>
          </w:p>
        </w:tc>
      </w:tr>
    </w:tbl>
    <w:p w14:paraId="33D3D2A5" w14:textId="77777777" w:rsidR="000E4EB2" w:rsidRPr="006D2E70" w:rsidRDefault="000E4EB2" w:rsidP="00D65721">
      <w:pPr>
        <w:rPr>
          <w:rFonts w:ascii="Times New Roman" w:hAnsi="Times New Roman" w:cs="Times New Roman"/>
          <w:sz w:val="24"/>
          <w:szCs w:val="24"/>
        </w:rPr>
      </w:pPr>
    </w:p>
    <w:p w14:paraId="4F4B6734" w14:textId="1AC31B45" w:rsidR="003F0246" w:rsidRPr="006D2E70" w:rsidRDefault="003F0246" w:rsidP="00D65721">
      <w:pPr>
        <w:rPr>
          <w:rFonts w:ascii="Times New Roman" w:hAnsi="Times New Roman" w:cs="Times New Roman"/>
          <w:sz w:val="24"/>
          <w:szCs w:val="24"/>
        </w:rPr>
      </w:pPr>
    </w:p>
    <w:p w14:paraId="49F9F6B0" w14:textId="620CF48E" w:rsidR="003F0246" w:rsidRPr="006D2E70" w:rsidRDefault="003F0246" w:rsidP="00D65721">
      <w:pPr>
        <w:rPr>
          <w:rFonts w:ascii="Times New Roman" w:hAnsi="Times New Roman" w:cs="Times New Roman"/>
          <w:sz w:val="24"/>
          <w:szCs w:val="24"/>
        </w:rPr>
      </w:pPr>
      <w:r w:rsidRPr="006D2E70">
        <w:rPr>
          <w:rFonts w:ascii="Times New Roman" w:hAnsi="Times New Roman" w:cs="Times New Roman"/>
          <w:noProof/>
          <w:sz w:val="24"/>
          <w:szCs w:val="24"/>
        </w:rPr>
        <w:drawing>
          <wp:inline distT="0" distB="0" distL="0" distR="0" wp14:anchorId="774FE17A" wp14:editId="4E89F231">
            <wp:extent cx="3778250" cy="31434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89127" cy="3152518"/>
                    </a:xfrm>
                    <a:prstGeom prst="rect">
                      <a:avLst/>
                    </a:prstGeom>
                    <a:noFill/>
                    <a:ln>
                      <a:noFill/>
                    </a:ln>
                  </pic:spPr>
                </pic:pic>
              </a:graphicData>
            </a:graphic>
          </wp:inline>
        </w:drawing>
      </w:r>
    </w:p>
    <w:p w14:paraId="12213487" w14:textId="77777777" w:rsidR="003F0246" w:rsidRPr="006D2E70" w:rsidRDefault="003F0246" w:rsidP="003F0246">
      <w:pPr>
        <w:widowControl/>
        <w:spacing w:before="240" w:after="120" w:line="260" w:lineRule="atLeast"/>
        <w:ind w:left="425" w:right="425"/>
        <w:rPr>
          <w:rFonts w:ascii="Times New Roman" w:eastAsia="Times New Roman" w:hAnsi="Times New Roman" w:cs="Times New Roman"/>
          <w:bCs/>
          <w:color w:val="000000"/>
          <w:kern w:val="0"/>
          <w:sz w:val="24"/>
          <w:szCs w:val="24"/>
          <w:lang w:eastAsia="de-DE" w:bidi="en-US"/>
        </w:rPr>
      </w:pPr>
      <w:r w:rsidRPr="006D2E70">
        <w:rPr>
          <w:rFonts w:ascii="Times New Roman" w:eastAsia="Times New Roman" w:hAnsi="Times New Roman" w:cs="Times New Roman"/>
          <w:b/>
          <w:color w:val="000000"/>
          <w:kern w:val="0"/>
          <w:sz w:val="24"/>
          <w:szCs w:val="24"/>
          <w:lang w:eastAsia="de-DE" w:bidi="en-US"/>
        </w:rPr>
        <w:t>Figure S</w:t>
      </w:r>
      <w:r w:rsidRPr="006D2E70">
        <w:rPr>
          <w:rFonts w:ascii="Times New Roman" w:hAnsi="Times New Roman" w:cs="Times New Roman"/>
          <w:b/>
          <w:color w:val="000000"/>
          <w:kern w:val="0"/>
          <w:sz w:val="24"/>
          <w:szCs w:val="24"/>
          <w:lang w:bidi="en-US"/>
        </w:rPr>
        <w:t>1</w:t>
      </w:r>
      <w:r w:rsidRPr="006D2E70">
        <w:rPr>
          <w:rFonts w:ascii="Times New Roman" w:eastAsia="Times New Roman" w:hAnsi="Times New Roman" w:cs="Times New Roman"/>
          <w:b/>
          <w:color w:val="000000"/>
          <w:kern w:val="0"/>
          <w:sz w:val="24"/>
          <w:szCs w:val="24"/>
          <w:lang w:eastAsia="de-DE" w:bidi="en-US"/>
        </w:rPr>
        <w:t>.</w:t>
      </w:r>
      <w:r w:rsidRPr="006D2E70">
        <w:rPr>
          <w:rFonts w:ascii="Times New Roman" w:eastAsia="Times New Roman" w:hAnsi="Times New Roman" w:cs="Times New Roman"/>
          <w:bCs/>
          <w:color w:val="000000"/>
          <w:kern w:val="0"/>
          <w:sz w:val="24"/>
          <w:szCs w:val="24"/>
          <w:lang w:eastAsia="de-DE" w:bidi="en-US"/>
        </w:rPr>
        <w:t xml:space="preserve"> Expression of circadian clock gene </w:t>
      </w:r>
      <w:r w:rsidRPr="006D2E70">
        <w:rPr>
          <w:rFonts w:ascii="Times New Roman" w:eastAsia="Times New Roman" w:hAnsi="Times New Roman" w:cs="Times New Roman"/>
          <w:bCs/>
          <w:i/>
          <w:iCs/>
          <w:color w:val="000000"/>
          <w:kern w:val="0"/>
          <w:sz w:val="24"/>
          <w:szCs w:val="24"/>
          <w:lang w:eastAsia="de-DE" w:bidi="en-US"/>
        </w:rPr>
        <w:t>HvCCA1</w:t>
      </w:r>
      <w:r w:rsidRPr="006D2E70">
        <w:rPr>
          <w:rFonts w:ascii="Times New Roman" w:eastAsia="Times New Roman" w:hAnsi="Times New Roman" w:cs="Times New Roman"/>
          <w:bCs/>
          <w:color w:val="000000"/>
          <w:kern w:val="0"/>
          <w:sz w:val="24"/>
          <w:szCs w:val="24"/>
          <w:lang w:eastAsia="de-DE" w:bidi="en-US"/>
        </w:rPr>
        <w:t xml:space="preserve"> in </w:t>
      </w:r>
      <w:proofErr w:type="spellStart"/>
      <w:r w:rsidRPr="006D2E70">
        <w:rPr>
          <w:rFonts w:ascii="Times New Roman" w:eastAsia="Times New Roman" w:hAnsi="Times New Roman" w:cs="Times New Roman"/>
          <w:bCs/>
          <w:color w:val="000000"/>
          <w:kern w:val="0"/>
          <w:sz w:val="24"/>
          <w:szCs w:val="24"/>
          <w:lang w:eastAsia="de-DE" w:bidi="en-US"/>
        </w:rPr>
        <w:t>hulless</w:t>
      </w:r>
      <w:proofErr w:type="spellEnd"/>
      <w:r w:rsidRPr="006D2E70">
        <w:rPr>
          <w:rFonts w:ascii="Times New Roman" w:eastAsia="Times New Roman" w:hAnsi="Times New Roman" w:cs="Times New Roman"/>
          <w:bCs/>
          <w:color w:val="000000"/>
          <w:kern w:val="0"/>
          <w:sz w:val="24"/>
          <w:szCs w:val="24"/>
          <w:lang w:eastAsia="de-DE" w:bidi="en-US"/>
        </w:rPr>
        <w:t xml:space="preserve"> barley seedlings treated with 1μM, 10μM, 100μM melatonin at 25 </w:t>
      </w:r>
      <w:r w:rsidRPr="006D2E70">
        <w:rPr>
          <w:rFonts w:ascii="Times New Roman" w:eastAsia="宋体" w:hAnsi="Times New Roman" w:cs="Times New Roman"/>
          <w:bCs/>
          <w:color w:val="000000"/>
          <w:kern w:val="0"/>
          <w:sz w:val="24"/>
          <w:szCs w:val="24"/>
          <w:lang w:eastAsia="de-DE" w:bidi="en-US"/>
        </w:rPr>
        <w:t>℃</w:t>
      </w:r>
      <w:r w:rsidRPr="006D2E70">
        <w:rPr>
          <w:rFonts w:ascii="Times New Roman" w:eastAsia="Times New Roman" w:hAnsi="Times New Roman" w:cs="Times New Roman"/>
          <w:bCs/>
          <w:color w:val="000000"/>
          <w:kern w:val="0"/>
          <w:sz w:val="24"/>
          <w:szCs w:val="24"/>
          <w:lang w:eastAsia="de-DE" w:bidi="en-US"/>
        </w:rPr>
        <w:t xml:space="preserve">. Plots of measured expression profiles of circadian clock genes for the 25 </w:t>
      </w:r>
      <w:r w:rsidRPr="006D2E70">
        <w:rPr>
          <w:rFonts w:ascii="Times New Roman" w:eastAsia="宋体" w:hAnsi="Times New Roman" w:cs="Times New Roman"/>
          <w:bCs/>
          <w:color w:val="000000"/>
          <w:kern w:val="0"/>
          <w:sz w:val="24"/>
          <w:szCs w:val="24"/>
          <w:lang w:eastAsia="de-DE" w:bidi="en-US"/>
        </w:rPr>
        <w:t>℃</w:t>
      </w:r>
      <w:r w:rsidRPr="006D2E70">
        <w:rPr>
          <w:rFonts w:ascii="Times New Roman" w:eastAsia="Times New Roman" w:hAnsi="Times New Roman" w:cs="Times New Roman"/>
          <w:bCs/>
          <w:color w:val="000000"/>
          <w:kern w:val="0"/>
          <w:sz w:val="24"/>
          <w:szCs w:val="24"/>
          <w:lang w:eastAsia="de-DE" w:bidi="en-US"/>
        </w:rPr>
        <w:t xml:space="preserve"> group </w:t>
      </w:r>
      <w:r w:rsidRPr="006D2E70">
        <w:rPr>
          <w:rFonts w:ascii="Times New Roman" w:eastAsia="Times New Roman" w:hAnsi="Times New Roman" w:cs="Times New Roman"/>
          <w:bCs/>
          <w:color w:val="000000"/>
          <w:kern w:val="0"/>
          <w:sz w:val="24"/>
          <w:szCs w:val="24"/>
          <w:lang w:eastAsia="de-DE" w:bidi="en-US"/>
        </w:rPr>
        <w:lastRenderedPageBreak/>
        <w:t xml:space="preserve">(black lines), 1μM MT group (red lines), 10μM MT group (blue lines) and 100μM MT group (green lines) </w:t>
      </w:r>
      <w:proofErr w:type="spellStart"/>
      <w:r w:rsidRPr="006D2E70">
        <w:rPr>
          <w:rFonts w:ascii="Times New Roman" w:eastAsia="Times New Roman" w:hAnsi="Times New Roman" w:cs="Times New Roman"/>
          <w:bCs/>
          <w:color w:val="000000"/>
          <w:kern w:val="0"/>
          <w:sz w:val="24"/>
          <w:szCs w:val="24"/>
          <w:lang w:eastAsia="de-DE" w:bidi="en-US"/>
        </w:rPr>
        <w:t>hulless</w:t>
      </w:r>
      <w:proofErr w:type="spellEnd"/>
      <w:r w:rsidRPr="006D2E70">
        <w:rPr>
          <w:rFonts w:ascii="Times New Roman" w:eastAsia="Times New Roman" w:hAnsi="Times New Roman" w:cs="Times New Roman"/>
          <w:bCs/>
          <w:color w:val="000000"/>
          <w:kern w:val="0"/>
          <w:sz w:val="24"/>
          <w:szCs w:val="24"/>
          <w:lang w:eastAsia="de-DE" w:bidi="en-US"/>
        </w:rPr>
        <w:t xml:space="preserve"> barley seedlings. Total RNA for the analysis of the clock gene </w:t>
      </w:r>
      <w:r w:rsidRPr="006D2E70">
        <w:rPr>
          <w:rFonts w:ascii="Times New Roman" w:eastAsia="Times New Roman" w:hAnsi="Times New Roman" w:cs="Times New Roman"/>
          <w:bCs/>
          <w:i/>
          <w:iCs/>
          <w:color w:val="000000"/>
          <w:kern w:val="0"/>
          <w:sz w:val="24"/>
          <w:szCs w:val="24"/>
          <w:lang w:eastAsia="de-DE" w:bidi="en-US"/>
        </w:rPr>
        <w:t>HvCCA1</w:t>
      </w:r>
      <w:r w:rsidRPr="006D2E70">
        <w:rPr>
          <w:rFonts w:ascii="Times New Roman" w:eastAsia="Times New Roman" w:hAnsi="Times New Roman" w:cs="Times New Roman"/>
          <w:bCs/>
          <w:color w:val="000000"/>
          <w:kern w:val="0"/>
          <w:sz w:val="24"/>
          <w:szCs w:val="24"/>
          <w:lang w:eastAsia="de-DE" w:bidi="en-US"/>
        </w:rPr>
        <w:t xml:space="preserve"> was extracted from 3 biological replicates. Average </w:t>
      </w:r>
      <w:proofErr w:type="spellStart"/>
      <w:r w:rsidRPr="006D2E70">
        <w:rPr>
          <w:rFonts w:ascii="Times New Roman" w:eastAsia="Times New Roman" w:hAnsi="Times New Roman" w:cs="Times New Roman"/>
          <w:bCs/>
          <w:color w:val="000000"/>
          <w:kern w:val="0"/>
          <w:sz w:val="24"/>
          <w:szCs w:val="24"/>
          <w:lang w:eastAsia="de-DE" w:bidi="en-US"/>
        </w:rPr>
        <w:t>Cq</w:t>
      </w:r>
      <w:proofErr w:type="spellEnd"/>
      <w:r w:rsidRPr="006D2E70">
        <w:rPr>
          <w:rFonts w:ascii="Times New Roman" w:eastAsia="Times New Roman" w:hAnsi="Times New Roman" w:cs="Times New Roman"/>
          <w:bCs/>
          <w:color w:val="000000"/>
          <w:kern w:val="0"/>
          <w:sz w:val="24"/>
          <w:szCs w:val="24"/>
          <w:lang w:eastAsia="de-DE" w:bidi="en-US"/>
        </w:rPr>
        <w:t xml:space="preserve"> values from 3 independent RT-qPCR amplifications were used to determine the relative expression levels of target genes after calibration with a reference gene, </w:t>
      </w:r>
      <w:r w:rsidRPr="006D2E70">
        <w:rPr>
          <w:rFonts w:ascii="Times New Roman" w:eastAsia="Times New Roman" w:hAnsi="Times New Roman" w:cs="Times New Roman"/>
          <w:bCs/>
          <w:i/>
          <w:iCs/>
          <w:color w:val="000000"/>
          <w:kern w:val="0"/>
          <w:sz w:val="24"/>
          <w:szCs w:val="24"/>
          <w:lang w:eastAsia="de-DE" w:bidi="en-US"/>
        </w:rPr>
        <w:t>EF-1α</w:t>
      </w:r>
      <w:r w:rsidRPr="006D2E70">
        <w:rPr>
          <w:rFonts w:ascii="Times New Roman" w:eastAsia="Times New Roman" w:hAnsi="Times New Roman" w:cs="Times New Roman"/>
          <w:bCs/>
          <w:color w:val="000000"/>
          <w:kern w:val="0"/>
          <w:sz w:val="24"/>
          <w:szCs w:val="24"/>
          <w:lang w:eastAsia="de-DE" w:bidi="en-US"/>
        </w:rPr>
        <w:t>. Error bars represent standard errors.</w:t>
      </w:r>
    </w:p>
    <w:p w14:paraId="260EE067" w14:textId="6C710D31" w:rsidR="003F0246" w:rsidRPr="006D2E70" w:rsidRDefault="003F0246" w:rsidP="00D65721">
      <w:pPr>
        <w:rPr>
          <w:rFonts w:ascii="Times New Roman" w:hAnsi="Times New Roman" w:cs="Times New Roman"/>
          <w:sz w:val="24"/>
          <w:szCs w:val="24"/>
        </w:rPr>
      </w:pPr>
    </w:p>
    <w:p w14:paraId="4813FE0C" w14:textId="4205E5E8" w:rsidR="003F0246" w:rsidRPr="006D2E70" w:rsidRDefault="003F0246" w:rsidP="00D65721">
      <w:pPr>
        <w:rPr>
          <w:rFonts w:ascii="Times New Roman" w:hAnsi="Times New Roman" w:cs="Times New Roman"/>
          <w:sz w:val="24"/>
          <w:szCs w:val="24"/>
        </w:rPr>
      </w:pPr>
      <w:r w:rsidRPr="006D2E70">
        <w:rPr>
          <w:rFonts w:ascii="Times New Roman" w:hAnsi="Times New Roman" w:cs="Times New Roman"/>
          <w:noProof/>
          <w:sz w:val="24"/>
          <w:szCs w:val="24"/>
        </w:rPr>
        <w:drawing>
          <wp:inline distT="0" distB="0" distL="0" distR="0" wp14:anchorId="7751BD0F" wp14:editId="15CEE91B">
            <wp:extent cx="5267325" cy="2962275"/>
            <wp:effectExtent l="0" t="0" r="9525" b="9525"/>
            <wp:docPr id="6" name="图片 6"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16AB95DF" w14:textId="46A6C40F" w:rsidR="00D65721" w:rsidRPr="006D2E70" w:rsidRDefault="00D65721" w:rsidP="00D65721">
      <w:pPr>
        <w:widowControl/>
        <w:spacing w:before="240" w:after="120" w:line="260" w:lineRule="atLeast"/>
        <w:ind w:left="425" w:right="425"/>
        <w:rPr>
          <w:rFonts w:ascii="Times New Roman" w:eastAsia="Times New Roman" w:hAnsi="Times New Roman" w:cs="Times New Roman"/>
          <w:b/>
          <w:color w:val="000000"/>
          <w:kern w:val="0"/>
          <w:sz w:val="24"/>
          <w:szCs w:val="24"/>
          <w:lang w:eastAsia="de-DE" w:bidi="en-US"/>
        </w:rPr>
      </w:pPr>
      <w:r w:rsidRPr="006D2E70">
        <w:rPr>
          <w:rFonts w:ascii="Times New Roman" w:eastAsia="Times New Roman" w:hAnsi="Times New Roman" w:cs="Times New Roman"/>
          <w:b/>
          <w:color w:val="000000"/>
          <w:kern w:val="0"/>
          <w:sz w:val="24"/>
          <w:szCs w:val="24"/>
          <w:lang w:eastAsia="de-DE" w:bidi="en-US"/>
        </w:rPr>
        <w:t>Figure S</w:t>
      </w:r>
      <w:r w:rsidR="003F0246" w:rsidRPr="006D2E70">
        <w:rPr>
          <w:rFonts w:ascii="Times New Roman" w:hAnsi="Times New Roman" w:cs="Times New Roman"/>
          <w:b/>
          <w:color w:val="000000"/>
          <w:kern w:val="0"/>
          <w:sz w:val="24"/>
          <w:szCs w:val="24"/>
          <w:lang w:bidi="en-US"/>
        </w:rPr>
        <w:t>2</w:t>
      </w:r>
      <w:r w:rsidRPr="006D2E70">
        <w:rPr>
          <w:rFonts w:ascii="Times New Roman" w:eastAsia="宋体" w:hAnsi="Times New Roman" w:cs="Times New Roman"/>
          <w:b/>
          <w:color w:val="000000"/>
          <w:kern w:val="0"/>
          <w:sz w:val="24"/>
          <w:szCs w:val="24"/>
          <w:lang w:bidi="en-US"/>
        </w:rPr>
        <w:t>.</w:t>
      </w:r>
      <w:r w:rsidRPr="006D2E70">
        <w:rPr>
          <w:rFonts w:ascii="Times New Roman" w:eastAsia="Times New Roman" w:hAnsi="Times New Roman" w:cs="Times New Roman"/>
          <w:bCs/>
          <w:color w:val="000000"/>
          <w:kern w:val="0"/>
          <w:sz w:val="24"/>
          <w:szCs w:val="24"/>
          <w:lang w:eastAsia="de-DE" w:bidi="en-US"/>
        </w:rPr>
        <w:t xml:space="preserve"> Overview of the treatments in experiment. Mock, the seeds were soaked in distilled water for 12 h in darkness at 25</w:t>
      </w:r>
      <w:r w:rsidRPr="006D2E70">
        <w:rPr>
          <w:rFonts w:ascii="Times New Roman" w:eastAsia="宋体" w:hAnsi="Times New Roman" w:cs="Times New Roman"/>
          <w:bCs/>
          <w:color w:val="000000"/>
          <w:kern w:val="0"/>
          <w:sz w:val="24"/>
          <w:szCs w:val="24"/>
          <w:lang w:eastAsia="de-DE" w:bidi="en-US"/>
        </w:rPr>
        <w:t>℃</w:t>
      </w:r>
      <w:r w:rsidRPr="006D2E70">
        <w:rPr>
          <w:rFonts w:ascii="Times New Roman" w:eastAsia="Times New Roman" w:hAnsi="Times New Roman" w:cs="Times New Roman"/>
          <w:bCs/>
          <w:color w:val="000000"/>
          <w:kern w:val="0"/>
          <w:sz w:val="24"/>
          <w:szCs w:val="24"/>
          <w:lang w:eastAsia="de-DE" w:bidi="en-US"/>
        </w:rPr>
        <w:t xml:space="preserve"> before germination; MT, the seeds were soaked in 1 </w:t>
      </w:r>
      <w:proofErr w:type="spellStart"/>
      <w:r w:rsidRPr="006D2E70">
        <w:rPr>
          <w:rFonts w:ascii="Times New Roman" w:eastAsia="Times New Roman" w:hAnsi="Times New Roman" w:cs="Times New Roman"/>
          <w:bCs/>
          <w:color w:val="000000"/>
          <w:kern w:val="0"/>
          <w:sz w:val="24"/>
          <w:szCs w:val="24"/>
          <w:lang w:eastAsia="de-DE" w:bidi="en-US"/>
        </w:rPr>
        <w:t>μM</w:t>
      </w:r>
      <w:proofErr w:type="spellEnd"/>
      <w:r w:rsidRPr="006D2E70">
        <w:rPr>
          <w:rFonts w:ascii="Times New Roman" w:eastAsia="Times New Roman" w:hAnsi="Times New Roman" w:cs="Times New Roman"/>
          <w:bCs/>
          <w:color w:val="000000"/>
          <w:kern w:val="0"/>
          <w:sz w:val="24"/>
          <w:szCs w:val="24"/>
          <w:lang w:eastAsia="de-DE" w:bidi="en-US"/>
        </w:rPr>
        <w:t xml:space="preserve"> melatonin solution for 12h in darkness at 25</w:t>
      </w:r>
      <w:r w:rsidRPr="006D2E70">
        <w:rPr>
          <w:rFonts w:ascii="Times New Roman" w:eastAsia="宋体" w:hAnsi="Times New Roman" w:cs="Times New Roman"/>
          <w:bCs/>
          <w:color w:val="000000"/>
          <w:kern w:val="0"/>
          <w:sz w:val="24"/>
          <w:szCs w:val="24"/>
          <w:lang w:eastAsia="de-DE" w:bidi="en-US"/>
        </w:rPr>
        <w:t>℃</w:t>
      </w:r>
      <w:r w:rsidRPr="006D2E70">
        <w:rPr>
          <w:rFonts w:ascii="Times New Roman" w:eastAsia="Times New Roman" w:hAnsi="Times New Roman" w:cs="Times New Roman"/>
          <w:bCs/>
          <w:color w:val="000000"/>
          <w:kern w:val="0"/>
          <w:sz w:val="24"/>
          <w:szCs w:val="24"/>
          <w:lang w:eastAsia="de-DE" w:bidi="en-US"/>
        </w:rPr>
        <w:t xml:space="preserve"> before germination.</w:t>
      </w:r>
    </w:p>
    <w:p w14:paraId="55D72C78" w14:textId="77777777" w:rsidR="0052018D" w:rsidRPr="006D2E70" w:rsidRDefault="0052018D" w:rsidP="00EF5D67">
      <w:pPr>
        <w:rPr>
          <w:rFonts w:ascii="Times New Roman" w:hAnsi="Times New Roman" w:cs="Times New Roman"/>
          <w:sz w:val="24"/>
          <w:szCs w:val="24"/>
        </w:rPr>
      </w:pPr>
    </w:p>
    <w:p w14:paraId="3AD1D5EE" w14:textId="77777777" w:rsidR="0052018D" w:rsidRPr="006D2E70" w:rsidRDefault="00AD61DB" w:rsidP="0052018D">
      <w:pPr>
        <w:rPr>
          <w:rFonts w:ascii="Times New Roman" w:hAnsi="Times New Roman" w:cs="Times New Roman"/>
          <w:sz w:val="24"/>
          <w:szCs w:val="24"/>
        </w:rPr>
      </w:pPr>
      <w:r>
        <w:rPr>
          <w:rFonts w:ascii="Times New Roman" w:hAnsi="Times New Roman" w:cs="Times New Roman"/>
          <w:noProof/>
          <w:sz w:val="24"/>
          <w:szCs w:val="24"/>
        </w:rPr>
        <w:lastRenderedPageBreak/>
        <w:pict w14:anchorId="7F56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in">
            <v:imagedata r:id="rId9" o:title="FIGURE S1"/>
          </v:shape>
        </w:pict>
      </w:r>
    </w:p>
    <w:p w14:paraId="3182C178" w14:textId="006107E5" w:rsidR="0052018D" w:rsidRPr="006D2E70" w:rsidRDefault="0052018D" w:rsidP="00E41086">
      <w:pPr>
        <w:widowControl/>
        <w:spacing w:before="240" w:after="120" w:line="260" w:lineRule="atLeast"/>
        <w:ind w:left="425" w:right="425"/>
        <w:rPr>
          <w:rFonts w:ascii="Times New Roman" w:eastAsia="Times New Roman" w:hAnsi="Times New Roman" w:cs="Times New Roman"/>
          <w:b/>
          <w:color w:val="000000"/>
          <w:kern w:val="0"/>
          <w:sz w:val="24"/>
          <w:szCs w:val="24"/>
          <w:lang w:eastAsia="de-DE" w:bidi="en-US"/>
        </w:rPr>
      </w:pPr>
      <w:bookmarkStart w:id="1" w:name="_Hlk46237312"/>
      <w:r w:rsidRPr="006D2E70">
        <w:rPr>
          <w:rFonts w:ascii="Times New Roman" w:eastAsia="Times New Roman" w:hAnsi="Times New Roman" w:cs="Times New Roman"/>
          <w:b/>
          <w:color w:val="000000"/>
          <w:kern w:val="0"/>
          <w:sz w:val="24"/>
          <w:szCs w:val="24"/>
          <w:lang w:eastAsia="de-DE" w:bidi="en-US"/>
        </w:rPr>
        <w:t xml:space="preserve">Figure </w:t>
      </w:r>
      <w:r w:rsidR="00D65721" w:rsidRPr="006D2E70">
        <w:rPr>
          <w:rFonts w:ascii="Times New Roman" w:eastAsia="Times New Roman" w:hAnsi="Times New Roman" w:cs="Times New Roman"/>
          <w:b/>
          <w:color w:val="000000"/>
          <w:kern w:val="0"/>
          <w:sz w:val="24"/>
          <w:szCs w:val="24"/>
          <w:lang w:eastAsia="de-DE" w:bidi="en-US"/>
        </w:rPr>
        <w:t>S</w:t>
      </w:r>
      <w:r w:rsidR="003F0246" w:rsidRPr="006D2E70">
        <w:rPr>
          <w:rFonts w:ascii="Times New Roman" w:hAnsi="Times New Roman" w:cs="Times New Roman"/>
          <w:b/>
          <w:color w:val="000000"/>
          <w:kern w:val="0"/>
          <w:sz w:val="24"/>
          <w:szCs w:val="24"/>
          <w:lang w:bidi="en-US"/>
        </w:rPr>
        <w:t>3</w:t>
      </w:r>
      <w:r w:rsidRPr="006D2E70">
        <w:rPr>
          <w:rFonts w:ascii="Times New Roman" w:eastAsia="Times New Roman" w:hAnsi="Times New Roman" w:cs="Times New Roman"/>
          <w:b/>
          <w:color w:val="000000"/>
          <w:kern w:val="0"/>
          <w:sz w:val="24"/>
          <w:szCs w:val="24"/>
          <w:lang w:eastAsia="de-DE" w:bidi="en-US"/>
        </w:rPr>
        <w:t xml:space="preserve"> </w:t>
      </w:r>
      <w:r w:rsidRPr="006D2E70">
        <w:rPr>
          <w:rFonts w:ascii="Times New Roman" w:eastAsia="Times New Roman" w:hAnsi="Times New Roman" w:cs="Times New Roman"/>
          <w:bCs/>
          <w:color w:val="000000"/>
          <w:kern w:val="0"/>
          <w:sz w:val="24"/>
          <w:szCs w:val="24"/>
          <w:lang w:eastAsia="de-DE" w:bidi="en-US"/>
        </w:rPr>
        <w:t xml:space="preserve">Period lengths of clock genes circadian oscillation under different conditions in </w:t>
      </w:r>
      <w:proofErr w:type="spellStart"/>
      <w:r w:rsidRPr="006D2E70">
        <w:rPr>
          <w:rFonts w:ascii="Times New Roman" w:eastAsia="Times New Roman" w:hAnsi="Times New Roman" w:cs="Times New Roman"/>
          <w:bCs/>
          <w:color w:val="000000"/>
          <w:kern w:val="0"/>
          <w:sz w:val="24"/>
          <w:szCs w:val="24"/>
          <w:lang w:eastAsia="de-DE" w:bidi="en-US"/>
        </w:rPr>
        <w:t>hulless</w:t>
      </w:r>
      <w:proofErr w:type="spellEnd"/>
      <w:r w:rsidRPr="006D2E70">
        <w:rPr>
          <w:rFonts w:ascii="Times New Roman" w:eastAsia="Times New Roman" w:hAnsi="Times New Roman" w:cs="Times New Roman"/>
          <w:bCs/>
          <w:color w:val="000000"/>
          <w:kern w:val="0"/>
          <w:sz w:val="24"/>
          <w:szCs w:val="24"/>
          <w:lang w:eastAsia="de-DE" w:bidi="en-US"/>
        </w:rPr>
        <w:t xml:space="preserve"> barley seedlings.</w:t>
      </w:r>
      <w:bookmarkEnd w:id="1"/>
      <w:r w:rsidR="00E41086" w:rsidRPr="006D2E70">
        <w:rPr>
          <w:rFonts w:ascii="Times New Roman" w:hAnsi="Times New Roman" w:cs="Times New Roman"/>
          <w:b/>
          <w:color w:val="000000"/>
          <w:kern w:val="0"/>
          <w:sz w:val="24"/>
          <w:szCs w:val="24"/>
          <w:lang w:bidi="en-US"/>
        </w:rPr>
        <w:t xml:space="preserve"> </w:t>
      </w:r>
      <w:r w:rsidRPr="006D2E70">
        <w:rPr>
          <w:rFonts w:ascii="Times New Roman" w:eastAsia="Times New Roman" w:hAnsi="Times New Roman" w:cs="Times New Roman"/>
          <w:bCs/>
          <w:color w:val="000000"/>
          <w:kern w:val="0"/>
          <w:sz w:val="24"/>
          <w:szCs w:val="24"/>
          <w:lang w:eastAsia="de-DE" w:bidi="en-US"/>
        </w:rPr>
        <w:t>The results were analyzed by Spectrum Resampling through the online BioDare</w:t>
      </w:r>
      <w:r w:rsidR="006662BF" w:rsidRPr="006D2E70">
        <w:rPr>
          <w:rFonts w:ascii="Times New Roman" w:eastAsia="Times New Roman" w:hAnsi="Times New Roman" w:cs="Times New Roman"/>
          <w:bCs/>
          <w:color w:val="000000"/>
          <w:kern w:val="0"/>
          <w:sz w:val="24"/>
          <w:szCs w:val="24"/>
          <w:lang w:eastAsia="de-DE" w:bidi="en-US"/>
        </w:rPr>
        <w:t>2</w:t>
      </w:r>
      <w:r w:rsidRPr="006D2E70">
        <w:rPr>
          <w:rFonts w:ascii="Times New Roman" w:eastAsia="Times New Roman" w:hAnsi="Times New Roman" w:cs="Times New Roman"/>
          <w:bCs/>
          <w:color w:val="000000"/>
          <w:kern w:val="0"/>
          <w:sz w:val="24"/>
          <w:szCs w:val="24"/>
          <w:lang w:eastAsia="de-DE" w:bidi="en-US"/>
        </w:rPr>
        <w:t xml:space="preserve"> interface (</w:t>
      </w:r>
      <w:hyperlink r:id="rId10" w:history="1">
        <w:r w:rsidRPr="006D2E70">
          <w:rPr>
            <w:rFonts w:ascii="Times New Roman" w:eastAsia="Times New Roman" w:hAnsi="Times New Roman" w:cs="Times New Roman"/>
            <w:bCs/>
            <w:color w:val="000000"/>
            <w:kern w:val="0"/>
            <w:sz w:val="24"/>
            <w:szCs w:val="24"/>
            <w:lang w:eastAsia="de-DE" w:bidi="en-US"/>
          </w:rPr>
          <w:t>www.biodare.ed.ac.uk</w:t>
        </w:r>
      </w:hyperlink>
      <w:r w:rsidRPr="006D2E70">
        <w:rPr>
          <w:rFonts w:ascii="Times New Roman" w:eastAsia="Times New Roman" w:hAnsi="Times New Roman" w:cs="Times New Roman"/>
          <w:bCs/>
          <w:color w:val="000000"/>
          <w:kern w:val="0"/>
          <w:sz w:val="24"/>
          <w:szCs w:val="24"/>
          <w:lang w:eastAsia="de-DE" w:bidi="en-US"/>
        </w:rPr>
        <w:t xml:space="preserve">). The dashed line in the boxplot represents the average of the cycle lengths of the three biological replicates. Error bars represent standard errors. When the </w:t>
      </w:r>
      <w:r w:rsidR="004A77C5" w:rsidRPr="006D2E70">
        <w:rPr>
          <w:rFonts w:ascii="Times New Roman" w:eastAsia="Times New Roman" w:hAnsi="Times New Roman" w:cs="Times New Roman"/>
          <w:bCs/>
          <w:color w:val="000000"/>
          <w:kern w:val="0"/>
          <w:sz w:val="24"/>
          <w:szCs w:val="24"/>
          <w:lang w:eastAsia="de-DE" w:bidi="en-US"/>
        </w:rPr>
        <w:t>given</w:t>
      </w:r>
      <w:r w:rsidRPr="006D2E70">
        <w:rPr>
          <w:rFonts w:ascii="Times New Roman" w:eastAsia="Times New Roman" w:hAnsi="Times New Roman" w:cs="Times New Roman"/>
          <w:bCs/>
          <w:color w:val="000000"/>
          <w:kern w:val="0"/>
          <w:sz w:val="24"/>
          <w:szCs w:val="24"/>
          <w:lang w:eastAsia="de-DE" w:bidi="en-US"/>
        </w:rPr>
        <w:t xml:space="preserve"> rhythmic period length of a gene</w:t>
      </w:r>
      <w:r w:rsidR="004A77C5" w:rsidRPr="006D2E70">
        <w:rPr>
          <w:rFonts w:ascii="Times New Roman" w:eastAsia="Times New Roman" w:hAnsi="Times New Roman" w:cs="Times New Roman"/>
          <w:bCs/>
          <w:color w:val="000000"/>
          <w:kern w:val="0"/>
          <w:sz w:val="24"/>
          <w:szCs w:val="24"/>
          <w:lang w:eastAsia="de-DE" w:bidi="en-US"/>
        </w:rPr>
        <w:t xml:space="preserve"> by BioDare2 is</w:t>
      </w:r>
      <w:r w:rsidRPr="006D2E70">
        <w:rPr>
          <w:rFonts w:ascii="Times New Roman" w:eastAsia="Times New Roman" w:hAnsi="Times New Roman" w:cs="Times New Roman"/>
          <w:bCs/>
          <w:color w:val="000000"/>
          <w:kern w:val="0"/>
          <w:sz w:val="24"/>
          <w:szCs w:val="24"/>
          <w:lang w:eastAsia="de-DE" w:bidi="en-US"/>
        </w:rPr>
        <w:t xml:space="preserve"> </w:t>
      </w:r>
      <w:r w:rsidR="00726461" w:rsidRPr="006D2E70">
        <w:rPr>
          <w:rFonts w:ascii="Times New Roman" w:eastAsia="Times New Roman" w:hAnsi="Times New Roman" w:cs="Times New Roman"/>
          <w:bCs/>
          <w:color w:val="000000"/>
          <w:kern w:val="0"/>
          <w:sz w:val="24"/>
          <w:szCs w:val="24"/>
          <w:lang w:eastAsia="de-DE" w:bidi="en-US"/>
        </w:rPr>
        <w:t>long</w:t>
      </w:r>
      <w:r w:rsidRPr="006D2E70">
        <w:rPr>
          <w:rFonts w:ascii="Times New Roman" w:eastAsia="Times New Roman" w:hAnsi="Times New Roman" w:cs="Times New Roman"/>
          <w:bCs/>
          <w:color w:val="000000"/>
          <w:kern w:val="0"/>
          <w:sz w:val="24"/>
          <w:szCs w:val="24"/>
          <w:lang w:eastAsia="de-DE" w:bidi="en-US"/>
        </w:rPr>
        <w:t xml:space="preserve">er than 34 h or less than 18 h, it </w:t>
      </w:r>
      <w:r w:rsidR="00726461" w:rsidRPr="006D2E70">
        <w:rPr>
          <w:rFonts w:ascii="Times New Roman" w:eastAsia="Times New Roman" w:hAnsi="Times New Roman" w:cs="Times New Roman"/>
          <w:bCs/>
          <w:color w:val="000000"/>
          <w:kern w:val="0"/>
          <w:sz w:val="24"/>
          <w:szCs w:val="24"/>
          <w:lang w:eastAsia="de-DE" w:bidi="en-US"/>
        </w:rPr>
        <w:t>is screened</w:t>
      </w:r>
      <w:r w:rsidRPr="006D2E70">
        <w:rPr>
          <w:rFonts w:ascii="Times New Roman" w:eastAsia="Times New Roman" w:hAnsi="Times New Roman" w:cs="Times New Roman"/>
          <w:bCs/>
          <w:color w:val="000000"/>
          <w:kern w:val="0"/>
          <w:sz w:val="24"/>
          <w:szCs w:val="24"/>
          <w:lang w:eastAsia="de-DE" w:bidi="en-US"/>
        </w:rPr>
        <w:t xml:space="preserve"> to </w:t>
      </w:r>
      <w:r w:rsidR="00726461" w:rsidRPr="006D2E70">
        <w:rPr>
          <w:rFonts w:ascii="Times New Roman" w:eastAsia="Times New Roman" w:hAnsi="Times New Roman" w:cs="Times New Roman"/>
          <w:bCs/>
          <w:color w:val="000000"/>
          <w:kern w:val="0"/>
          <w:sz w:val="24"/>
          <w:szCs w:val="24"/>
          <w:lang w:eastAsia="de-DE" w:bidi="en-US"/>
        </w:rPr>
        <w:t xml:space="preserve">be </w:t>
      </w:r>
      <w:r w:rsidR="004A77C5" w:rsidRPr="006D2E70">
        <w:rPr>
          <w:rFonts w:ascii="Times New Roman" w:eastAsia="Times New Roman" w:hAnsi="Times New Roman" w:cs="Times New Roman"/>
          <w:bCs/>
          <w:color w:val="000000"/>
          <w:kern w:val="0"/>
          <w:sz w:val="24"/>
          <w:szCs w:val="24"/>
          <w:lang w:eastAsia="de-DE" w:bidi="en-US"/>
        </w:rPr>
        <w:t xml:space="preserve">an </w:t>
      </w:r>
      <w:r w:rsidRPr="006D2E70">
        <w:rPr>
          <w:rFonts w:ascii="Times New Roman" w:eastAsia="Times New Roman" w:hAnsi="Times New Roman" w:cs="Times New Roman"/>
          <w:bCs/>
          <w:color w:val="000000"/>
          <w:kern w:val="0"/>
          <w:sz w:val="24"/>
          <w:szCs w:val="24"/>
          <w:lang w:eastAsia="de-DE" w:bidi="en-US"/>
        </w:rPr>
        <w:t xml:space="preserve">arrhythmic phenotype. </w:t>
      </w:r>
    </w:p>
    <w:p w14:paraId="0044D6F0" w14:textId="77777777" w:rsidR="00E16F88" w:rsidRPr="006D2E70" w:rsidRDefault="00E16F88" w:rsidP="0052018D">
      <w:pPr>
        <w:rPr>
          <w:rFonts w:ascii="Times New Roman" w:hAnsi="Times New Roman" w:cs="Times New Roman"/>
          <w:sz w:val="24"/>
          <w:szCs w:val="24"/>
        </w:rPr>
      </w:pPr>
    </w:p>
    <w:p w14:paraId="6BF66D75" w14:textId="77777777" w:rsidR="00E16F88" w:rsidRPr="006D2E70" w:rsidRDefault="00E16F88" w:rsidP="0052018D">
      <w:pPr>
        <w:rPr>
          <w:rFonts w:ascii="Times New Roman" w:hAnsi="Times New Roman" w:cs="Times New Roman"/>
          <w:sz w:val="24"/>
          <w:szCs w:val="24"/>
        </w:rPr>
      </w:pPr>
    </w:p>
    <w:p w14:paraId="67D20B27" w14:textId="77777777" w:rsidR="00EF5D67" w:rsidRPr="006D2E70" w:rsidRDefault="00AD61DB" w:rsidP="00E16F88">
      <w:pPr>
        <w:jc w:val="center"/>
        <w:rPr>
          <w:rFonts w:ascii="Times New Roman" w:hAnsi="Times New Roman" w:cs="Times New Roman"/>
          <w:sz w:val="24"/>
          <w:szCs w:val="24"/>
        </w:rPr>
      </w:pPr>
      <w:r>
        <w:rPr>
          <w:rFonts w:ascii="Times New Roman" w:hAnsi="Times New Roman" w:cs="Times New Roman"/>
          <w:sz w:val="24"/>
          <w:szCs w:val="24"/>
        </w:rPr>
        <w:lastRenderedPageBreak/>
        <w:pict w14:anchorId="266CF7D3">
          <v:shape id="_x0000_i1026" type="#_x0000_t75" style="width:396pt;height:594pt">
            <v:imagedata r:id="rId11" o:title="FIGURE S2"/>
          </v:shape>
        </w:pict>
      </w:r>
    </w:p>
    <w:p w14:paraId="25B0A12B" w14:textId="6673FE60" w:rsidR="00E16F88" w:rsidRPr="006D2E70" w:rsidRDefault="00E16F88" w:rsidP="003F0246">
      <w:pPr>
        <w:widowControl/>
        <w:spacing w:before="240" w:after="120" w:line="260" w:lineRule="atLeast"/>
        <w:ind w:left="425" w:right="425"/>
        <w:rPr>
          <w:rFonts w:ascii="Times New Roman" w:eastAsia="Times New Roman" w:hAnsi="Times New Roman" w:cs="Times New Roman"/>
          <w:bCs/>
          <w:color w:val="000000"/>
          <w:kern w:val="0"/>
          <w:sz w:val="24"/>
          <w:szCs w:val="24"/>
          <w:lang w:eastAsia="de-DE" w:bidi="en-US"/>
        </w:rPr>
      </w:pPr>
      <w:bookmarkStart w:id="2" w:name="_Hlk46237337"/>
      <w:r w:rsidRPr="006D2E70">
        <w:rPr>
          <w:rFonts w:ascii="Times New Roman" w:eastAsia="Times New Roman" w:hAnsi="Times New Roman" w:cs="Times New Roman"/>
          <w:b/>
          <w:color w:val="000000"/>
          <w:kern w:val="0"/>
          <w:sz w:val="24"/>
          <w:szCs w:val="24"/>
          <w:lang w:eastAsia="de-DE" w:bidi="en-US"/>
        </w:rPr>
        <w:t xml:space="preserve">Figure </w:t>
      </w:r>
      <w:r w:rsidR="00D65721" w:rsidRPr="006D2E70">
        <w:rPr>
          <w:rFonts w:ascii="Times New Roman" w:eastAsia="Times New Roman" w:hAnsi="Times New Roman" w:cs="Times New Roman"/>
          <w:b/>
          <w:color w:val="000000"/>
          <w:kern w:val="0"/>
          <w:sz w:val="24"/>
          <w:szCs w:val="24"/>
          <w:lang w:eastAsia="de-DE" w:bidi="en-US"/>
        </w:rPr>
        <w:t>S</w:t>
      </w:r>
      <w:r w:rsidR="003F0246" w:rsidRPr="006D2E70">
        <w:rPr>
          <w:rFonts w:ascii="Times New Roman" w:hAnsi="Times New Roman" w:cs="Times New Roman"/>
          <w:b/>
          <w:color w:val="000000"/>
          <w:kern w:val="0"/>
          <w:sz w:val="24"/>
          <w:szCs w:val="24"/>
          <w:lang w:bidi="en-US"/>
        </w:rPr>
        <w:t>4</w:t>
      </w:r>
      <w:r w:rsidR="00E41086" w:rsidRPr="006D2E70">
        <w:rPr>
          <w:rFonts w:ascii="Times New Roman" w:eastAsia="Times New Roman" w:hAnsi="Times New Roman" w:cs="Times New Roman"/>
          <w:b/>
          <w:color w:val="000000"/>
          <w:kern w:val="0"/>
          <w:sz w:val="24"/>
          <w:szCs w:val="24"/>
          <w:lang w:eastAsia="de-DE" w:bidi="en-US"/>
        </w:rPr>
        <w:t>.</w:t>
      </w:r>
      <w:r w:rsidRPr="006D2E70">
        <w:rPr>
          <w:rFonts w:ascii="Times New Roman" w:eastAsia="Times New Roman" w:hAnsi="Times New Roman" w:cs="Times New Roman"/>
          <w:b/>
          <w:color w:val="000000"/>
          <w:kern w:val="0"/>
          <w:sz w:val="24"/>
          <w:szCs w:val="24"/>
          <w:lang w:eastAsia="de-DE" w:bidi="en-US"/>
        </w:rPr>
        <w:t xml:space="preserve"> </w:t>
      </w:r>
      <w:r w:rsidRPr="006D2E70">
        <w:rPr>
          <w:rFonts w:ascii="Times New Roman" w:eastAsia="Times New Roman" w:hAnsi="Times New Roman" w:cs="Times New Roman"/>
          <w:bCs/>
          <w:color w:val="000000"/>
          <w:kern w:val="0"/>
          <w:sz w:val="24"/>
          <w:szCs w:val="24"/>
          <w:lang w:eastAsia="de-DE" w:bidi="en-US"/>
        </w:rPr>
        <w:t xml:space="preserve">Relative amplitude error (RAE) analysis for clock genes circadian oscillation under different conditions in </w:t>
      </w:r>
      <w:proofErr w:type="spellStart"/>
      <w:r w:rsidRPr="006D2E70">
        <w:rPr>
          <w:rFonts w:ascii="Times New Roman" w:eastAsia="Times New Roman" w:hAnsi="Times New Roman" w:cs="Times New Roman"/>
          <w:bCs/>
          <w:color w:val="000000"/>
          <w:kern w:val="0"/>
          <w:sz w:val="24"/>
          <w:szCs w:val="24"/>
          <w:lang w:eastAsia="de-DE" w:bidi="en-US"/>
        </w:rPr>
        <w:t>hulless</w:t>
      </w:r>
      <w:proofErr w:type="spellEnd"/>
      <w:r w:rsidRPr="006D2E70">
        <w:rPr>
          <w:rFonts w:ascii="Times New Roman" w:eastAsia="Times New Roman" w:hAnsi="Times New Roman" w:cs="Times New Roman"/>
          <w:bCs/>
          <w:color w:val="000000"/>
          <w:kern w:val="0"/>
          <w:sz w:val="24"/>
          <w:szCs w:val="24"/>
          <w:lang w:eastAsia="de-DE" w:bidi="en-US"/>
        </w:rPr>
        <w:t xml:space="preserve"> barley seedlings.</w:t>
      </w:r>
      <w:bookmarkEnd w:id="2"/>
      <w:r w:rsidR="00E41086" w:rsidRPr="006D2E70">
        <w:rPr>
          <w:rFonts w:ascii="Times New Roman" w:hAnsi="Times New Roman" w:cs="Times New Roman"/>
          <w:bCs/>
          <w:color w:val="000000"/>
          <w:kern w:val="0"/>
          <w:sz w:val="24"/>
          <w:szCs w:val="24"/>
          <w:lang w:bidi="en-US"/>
        </w:rPr>
        <w:t xml:space="preserve"> </w:t>
      </w:r>
      <w:r w:rsidR="00013942" w:rsidRPr="006D2E70">
        <w:rPr>
          <w:rFonts w:ascii="Times New Roman" w:eastAsia="Times New Roman" w:hAnsi="Times New Roman" w:cs="Times New Roman"/>
          <w:bCs/>
          <w:color w:val="000000"/>
          <w:kern w:val="0"/>
          <w:sz w:val="24"/>
          <w:szCs w:val="24"/>
          <w:lang w:eastAsia="de-DE" w:bidi="en-US"/>
        </w:rPr>
        <w:t>The results were analyzed by Spectrum Resampling through the online BioDare2 interface (</w:t>
      </w:r>
      <w:hyperlink r:id="rId12" w:history="1">
        <w:r w:rsidR="00013942" w:rsidRPr="006D2E70">
          <w:rPr>
            <w:rFonts w:ascii="Times New Roman" w:eastAsia="Times New Roman" w:hAnsi="Times New Roman" w:cs="Times New Roman"/>
            <w:bCs/>
            <w:color w:val="000000"/>
            <w:kern w:val="0"/>
            <w:sz w:val="24"/>
            <w:szCs w:val="24"/>
            <w:lang w:eastAsia="de-DE" w:bidi="en-US"/>
          </w:rPr>
          <w:t>www.biodare.ed.ac.uk</w:t>
        </w:r>
      </w:hyperlink>
      <w:r w:rsidR="00013942" w:rsidRPr="006D2E70">
        <w:rPr>
          <w:rFonts w:ascii="Times New Roman" w:eastAsia="Times New Roman" w:hAnsi="Times New Roman" w:cs="Times New Roman"/>
          <w:bCs/>
          <w:color w:val="000000"/>
          <w:kern w:val="0"/>
          <w:sz w:val="24"/>
          <w:szCs w:val="24"/>
          <w:lang w:eastAsia="de-DE" w:bidi="en-US"/>
        </w:rPr>
        <w:t xml:space="preserve">). </w:t>
      </w:r>
      <w:r w:rsidR="00537221" w:rsidRPr="006D2E70">
        <w:rPr>
          <w:rFonts w:ascii="Times New Roman" w:eastAsia="Times New Roman" w:hAnsi="Times New Roman" w:cs="Times New Roman"/>
          <w:bCs/>
          <w:color w:val="000000"/>
          <w:kern w:val="0"/>
          <w:sz w:val="24"/>
          <w:szCs w:val="24"/>
          <w:lang w:eastAsia="de-DE" w:bidi="en-US"/>
        </w:rPr>
        <w:t xml:space="preserve">When the RAE ≥ 0.6, it is generally considered that this group of periodic statistics is meaningless. </w:t>
      </w:r>
      <w:r w:rsidR="00013942" w:rsidRPr="006D2E70">
        <w:rPr>
          <w:rFonts w:ascii="Times New Roman" w:eastAsia="Times New Roman" w:hAnsi="Times New Roman" w:cs="Times New Roman"/>
          <w:bCs/>
          <w:color w:val="000000"/>
          <w:kern w:val="0"/>
          <w:sz w:val="24"/>
          <w:szCs w:val="24"/>
          <w:lang w:eastAsia="de-DE" w:bidi="en-US"/>
        </w:rPr>
        <w:t xml:space="preserve">Data indicate </w:t>
      </w:r>
      <w:r w:rsidR="00013942" w:rsidRPr="006D2E70">
        <w:rPr>
          <w:rFonts w:ascii="Times New Roman" w:eastAsia="Times New Roman" w:hAnsi="Times New Roman" w:cs="Times New Roman"/>
          <w:bCs/>
          <w:color w:val="000000"/>
          <w:kern w:val="0"/>
          <w:sz w:val="24"/>
          <w:szCs w:val="24"/>
          <w:lang w:eastAsia="de-DE" w:bidi="en-US"/>
        </w:rPr>
        <w:lastRenderedPageBreak/>
        <w:t xml:space="preserve">mean of three independent assays for every group. </w:t>
      </w:r>
      <w:r w:rsidR="00491409" w:rsidRPr="006D2E70">
        <w:rPr>
          <w:rFonts w:ascii="Times New Roman" w:eastAsia="Times New Roman" w:hAnsi="Times New Roman" w:cs="Times New Roman"/>
          <w:bCs/>
          <w:color w:val="000000"/>
          <w:kern w:val="0"/>
          <w:sz w:val="24"/>
          <w:szCs w:val="24"/>
          <w:lang w:eastAsia="de-DE" w:bidi="en-US"/>
        </w:rPr>
        <w:t>Error bars represent standard errors.</w:t>
      </w:r>
    </w:p>
    <w:p w14:paraId="76E07E84" w14:textId="2AC9924A" w:rsidR="005C59BA" w:rsidRPr="006D2E70" w:rsidRDefault="000E4EB2" w:rsidP="000E4EB2">
      <w:pPr>
        <w:widowControl/>
        <w:spacing w:before="240" w:after="120" w:line="260" w:lineRule="atLeast"/>
        <w:ind w:right="425"/>
        <w:rPr>
          <w:rFonts w:ascii="Times New Roman" w:hAnsi="Times New Roman" w:cs="Times New Roman"/>
          <w:b/>
          <w:color w:val="000000"/>
          <w:kern w:val="0"/>
          <w:sz w:val="24"/>
          <w:szCs w:val="24"/>
          <w:lang w:bidi="en-US"/>
        </w:rPr>
      </w:pPr>
      <w:r w:rsidRPr="006D2E70">
        <w:rPr>
          <w:rFonts w:ascii="Times New Roman" w:eastAsia="Times New Roman" w:hAnsi="Times New Roman" w:cs="Times New Roman"/>
          <w:b/>
          <w:color w:val="000000"/>
          <w:kern w:val="0"/>
          <w:sz w:val="24"/>
          <w:szCs w:val="24"/>
          <w:lang w:eastAsia="de-DE" w:bidi="en-US"/>
        </w:rPr>
        <w:t>R</w:t>
      </w:r>
      <w:r w:rsidRPr="006D2E70">
        <w:rPr>
          <w:rFonts w:ascii="Times New Roman" w:hAnsi="Times New Roman" w:cs="Times New Roman"/>
          <w:b/>
          <w:color w:val="000000"/>
          <w:kern w:val="0"/>
          <w:sz w:val="24"/>
          <w:szCs w:val="24"/>
          <w:lang w:bidi="en-US"/>
        </w:rPr>
        <w:t>eference</w:t>
      </w:r>
    </w:p>
    <w:p w14:paraId="49819F90" w14:textId="4AB8DB62" w:rsidR="005C59BA" w:rsidRPr="006D2E70" w:rsidRDefault="005C59BA"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 xml:space="preserve">Cai J, Li P, Luo X, Chang T, Li J, Zhao Y, and Xu Y. 2018. Selection of appropriate reference genes for the detection of rhythmic gene expression via quantitative real-time PCR in Tibetan hulless barley. </w:t>
      </w:r>
      <w:r w:rsidRPr="006D2E70">
        <w:rPr>
          <w:rFonts w:ascii="Times New Roman" w:hAnsi="Times New Roman" w:cs="Times New Roman"/>
          <w:i/>
          <w:iCs/>
          <w:sz w:val="24"/>
          <w:szCs w:val="24"/>
        </w:rPr>
        <w:t>PLoS ONE</w:t>
      </w:r>
      <w:r w:rsidRPr="006D2E70">
        <w:rPr>
          <w:rFonts w:ascii="Times New Roman" w:hAnsi="Times New Roman" w:cs="Times New Roman"/>
          <w:sz w:val="24"/>
          <w:szCs w:val="24"/>
        </w:rPr>
        <w:t xml:space="preserve"> 13(1): e0190559. https://doi.org/10.1371/journal.pone.0190559</w:t>
      </w:r>
    </w:p>
    <w:p w14:paraId="68662C52" w14:textId="56BB13AF" w:rsidR="000E4EB2" w:rsidRPr="006D2E70" w:rsidRDefault="000E4EB2"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Campoli C, Pankin A, Drosse B, Casao CM, Davis SJ, and von Korff M. 2013. HvLUX1 is a candidate gene underlying the early maturity 10 locus in barley: phylogeny, diversity, and interactions with the circadian clock and photoperiodic pathways.</w:t>
      </w:r>
      <w:r w:rsidRPr="006D2E70">
        <w:rPr>
          <w:rFonts w:ascii="Times New Roman" w:hAnsi="Times New Roman" w:cs="Times New Roman"/>
          <w:i/>
          <w:sz w:val="24"/>
          <w:szCs w:val="24"/>
        </w:rPr>
        <w:t xml:space="preserve"> New Phytologist</w:t>
      </w:r>
      <w:r w:rsidRPr="006D2E70">
        <w:rPr>
          <w:rFonts w:ascii="Times New Roman" w:hAnsi="Times New Roman" w:cs="Times New Roman"/>
          <w:sz w:val="24"/>
          <w:szCs w:val="24"/>
        </w:rPr>
        <w:t xml:space="preserve"> 199:1045-1059. </w:t>
      </w:r>
      <w:r w:rsidR="005C59BA" w:rsidRPr="006D2E70">
        <w:rPr>
          <w:rFonts w:ascii="Times New Roman" w:hAnsi="Times New Roman" w:cs="Times New Roman"/>
          <w:sz w:val="24"/>
          <w:szCs w:val="24"/>
        </w:rPr>
        <w:t>https://doi.org/</w:t>
      </w:r>
      <w:r w:rsidRPr="006D2E70">
        <w:rPr>
          <w:rFonts w:ascii="Times New Roman" w:hAnsi="Times New Roman" w:cs="Times New Roman"/>
          <w:sz w:val="24"/>
          <w:szCs w:val="24"/>
        </w:rPr>
        <w:t>10.1111/nph.12346</w:t>
      </w:r>
    </w:p>
    <w:p w14:paraId="32BF251A" w14:textId="0F94AE15" w:rsidR="000E4EB2" w:rsidRPr="006D2E70" w:rsidRDefault="000E4EB2"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Campoli C, Shtaya M, Davis SJ, and von Korff M. 2012. Expression conservation within the circadian clock of a monocot: natural variation at barley Ppd-H1 affects circadian expression of flowering time genes, but not clock orthologs.</w:t>
      </w:r>
      <w:r w:rsidRPr="006D2E70">
        <w:rPr>
          <w:rFonts w:ascii="Times New Roman" w:hAnsi="Times New Roman" w:cs="Times New Roman"/>
          <w:i/>
          <w:sz w:val="24"/>
          <w:szCs w:val="24"/>
        </w:rPr>
        <w:t xml:space="preserve"> BMC Plant Biology</w:t>
      </w:r>
      <w:r w:rsidRPr="006D2E70">
        <w:rPr>
          <w:rFonts w:ascii="Times New Roman" w:hAnsi="Times New Roman" w:cs="Times New Roman"/>
          <w:sz w:val="24"/>
          <w:szCs w:val="24"/>
        </w:rPr>
        <w:t xml:space="preserve"> 12:97. </w:t>
      </w:r>
      <w:r w:rsidR="006C3662" w:rsidRPr="006D2E70">
        <w:rPr>
          <w:rFonts w:ascii="Times New Roman" w:hAnsi="Times New Roman" w:cs="Times New Roman"/>
          <w:sz w:val="24"/>
          <w:szCs w:val="24"/>
        </w:rPr>
        <w:t>https://doi.org/</w:t>
      </w:r>
      <w:r w:rsidRPr="006D2E70">
        <w:rPr>
          <w:rFonts w:ascii="Times New Roman" w:hAnsi="Times New Roman" w:cs="Times New Roman"/>
          <w:sz w:val="24"/>
          <w:szCs w:val="24"/>
        </w:rPr>
        <w:t>10.1186/1471-2229-12-97</w:t>
      </w:r>
    </w:p>
    <w:p w14:paraId="69FF172E" w14:textId="55E7055D" w:rsidR="000E4EB2" w:rsidRPr="006D2E70" w:rsidRDefault="000E4EB2"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Deng W, Clausen J, Boden S, Oliver SN, Casao MC, Ford B, Anderssen RS, and Trevaskis B. 2015. Dawn and Dusk Set States of the Circadian Oscillator in Sprouting Barley (Hordeum vulgare) Seedlings.</w:t>
      </w:r>
      <w:r w:rsidRPr="006D2E70">
        <w:rPr>
          <w:rFonts w:ascii="Times New Roman" w:hAnsi="Times New Roman" w:cs="Times New Roman"/>
          <w:i/>
          <w:sz w:val="24"/>
          <w:szCs w:val="24"/>
        </w:rPr>
        <w:t xml:space="preserve"> PloS One</w:t>
      </w:r>
      <w:r w:rsidRPr="006D2E70">
        <w:rPr>
          <w:rFonts w:ascii="Times New Roman" w:hAnsi="Times New Roman" w:cs="Times New Roman"/>
          <w:sz w:val="24"/>
          <w:szCs w:val="24"/>
        </w:rPr>
        <w:t xml:space="preserve"> 10:e0129781. </w:t>
      </w:r>
      <w:r w:rsidR="006C3662" w:rsidRPr="006D2E70">
        <w:rPr>
          <w:rFonts w:ascii="Times New Roman" w:hAnsi="Times New Roman" w:cs="Times New Roman"/>
          <w:sz w:val="24"/>
          <w:szCs w:val="24"/>
        </w:rPr>
        <w:t>https://doi.org/</w:t>
      </w:r>
      <w:r w:rsidRPr="006D2E70">
        <w:rPr>
          <w:rFonts w:ascii="Times New Roman" w:hAnsi="Times New Roman" w:cs="Times New Roman"/>
          <w:sz w:val="24"/>
          <w:szCs w:val="24"/>
        </w:rPr>
        <w:t>10.1371/journal.pone.0129781</w:t>
      </w:r>
    </w:p>
    <w:p w14:paraId="7A293D83" w14:textId="77777777" w:rsidR="000E4EB2" w:rsidRPr="006D2E70" w:rsidRDefault="000E4EB2"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Dunford RP, Griffiths S, Christodoulou V, and Laurie DA. 2005. Characterisation of a barley (Hordeum vulgare L.) homologue of the Arabidopsis flowering time regulator GIGANTEA.</w:t>
      </w:r>
      <w:r w:rsidRPr="006D2E70">
        <w:rPr>
          <w:rFonts w:ascii="Times New Roman" w:hAnsi="Times New Roman" w:cs="Times New Roman"/>
          <w:i/>
          <w:sz w:val="24"/>
          <w:szCs w:val="24"/>
        </w:rPr>
        <w:t xml:space="preserve"> Theoretical and Applied Genetics</w:t>
      </w:r>
      <w:r w:rsidRPr="006D2E70">
        <w:rPr>
          <w:rFonts w:ascii="Times New Roman" w:hAnsi="Times New Roman" w:cs="Times New Roman"/>
          <w:sz w:val="24"/>
          <w:szCs w:val="24"/>
        </w:rPr>
        <w:t xml:space="preserve"> 110:925-931. 10.1007/s00122-004-1912-5</w:t>
      </w:r>
    </w:p>
    <w:p w14:paraId="1B29C9D2" w14:textId="1AC5A14C" w:rsidR="000E4EB2" w:rsidRPr="006D2E70" w:rsidRDefault="000E4EB2" w:rsidP="006C3662">
      <w:pPr>
        <w:pStyle w:val="EndNoteBibliography"/>
        <w:ind w:left="720" w:hanging="720"/>
        <w:jc w:val="left"/>
        <w:rPr>
          <w:rFonts w:ascii="Times New Roman" w:hAnsi="Times New Roman" w:cs="Times New Roman"/>
          <w:sz w:val="24"/>
          <w:szCs w:val="24"/>
        </w:rPr>
      </w:pPr>
      <w:r w:rsidRPr="006D2E70">
        <w:rPr>
          <w:rFonts w:ascii="Times New Roman" w:hAnsi="Times New Roman" w:cs="Times New Roman"/>
          <w:sz w:val="24"/>
          <w:szCs w:val="24"/>
        </w:rPr>
        <w:t>Xia T, Zhang L, Xu J, Wang L, Liu B, Hao M, Chang X, Zhang T, Li S, Zhang H, Liu D, and Shen Y. 2017. The alternative splicing of EAM8 contributes to early flowering and short-season adaptation in a landrace barley from the Qinghai-Tibetan Plateau.</w:t>
      </w:r>
      <w:r w:rsidRPr="006D2E70">
        <w:rPr>
          <w:rFonts w:ascii="Times New Roman" w:hAnsi="Times New Roman" w:cs="Times New Roman"/>
          <w:i/>
          <w:sz w:val="24"/>
          <w:szCs w:val="24"/>
        </w:rPr>
        <w:t xml:space="preserve"> Theoretical and Applied Genetics</w:t>
      </w:r>
      <w:r w:rsidRPr="006D2E70">
        <w:rPr>
          <w:rFonts w:ascii="Times New Roman" w:hAnsi="Times New Roman" w:cs="Times New Roman"/>
          <w:sz w:val="24"/>
          <w:szCs w:val="24"/>
        </w:rPr>
        <w:t xml:space="preserve"> 130:757-766. </w:t>
      </w:r>
      <w:r w:rsidR="006C3662" w:rsidRPr="006D2E70">
        <w:rPr>
          <w:rFonts w:ascii="Times New Roman" w:hAnsi="Times New Roman" w:cs="Times New Roman"/>
          <w:sz w:val="24"/>
          <w:szCs w:val="24"/>
        </w:rPr>
        <w:t>https://doi.org/</w:t>
      </w:r>
      <w:r w:rsidRPr="006D2E70">
        <w:rPr>
          <w:rFonts w:ascii="Times New Roman" w:hAnsi="Times New Roman" w:cs="Times New Roman"/>
          <w:sz w:val="24"/>
          <w:szCs w:val="24"/>
        </w:rPr>
        <w:t>10.1007/s00122-016-2848-2</w:t>
      </w:r>
    </w:p>
    <w:p w14:paraId="019C689E" w14:textId="77777777" w:rsidR="000E4EB2" w:rsidRPr="006D2E70" w:rsidRDefault="000E4EB2" w:rsidP="003F0246">
      <w:pPr>
        <w:widowControl/>
        <w:spacing w:before="240" w:after="120" w:line="260" w:lineRule="atLeast"/>
        <w:ind w:left="425" w:right="425"/>
        <w:rPr>
          <w:rFonts w:ascii="Times New Roman" w:eastAsia="Times New Roman" w:hAnsi="Times New Roman" w:cs="Times New Roman"/>
          <w:b/>
          <w:color w:val="000000"/>
          <w:kern w:val="0"/>
          <w:sz w:val="24"/>
          <w:szCs w:val="24"/>
          <w:lang w:eastAsia="de-DE" w:bidi="en-US"/>
        </w:rPr>
      </w:pPr>
    </w:p>
    <w:sectPr w:rsidR="000E4EB2" w:rsidRPr="006D2E70" w:rsidSect="007069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85EDE" w14:textId="77777777" w:rsidR="00723697" w:rsidRDefault="00723697" w:rsidP="00F930BE">
      <w:r>
        <w:separator/>
      </w:r>
    </w:p>
  </w:endnote>
  <w:endnote w:type="continuationSeparator" w:id="0">
    <w:p w14:paraId="38D1AFF5" w14:textId="77777777" w:rsidR="00723697" w:rsidRDefault="00723697" w:rsidP="00F93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yriadPro-Ligh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54576" w14:textId="77777777" w:rsidR="00723697" w:rsidRDefault="00723697" w:rsidP="00F930BE">
      <w:r>
        <w:separator/>
      </w:r>
    </w:p>
  </w:footnote>
  <w:footnote w:type="continuationSeparator" w:id="0">
    <w:p w14:paraId="553E8387" w14:textId="77777777" w:rsidR="00723697" w:rsidRDefault="00723697" w:rsidP="00F930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E6813"/>
    <w:rsid w:val="00002534"/>
    <w:rsid w:val="00013942"/>
    <w:rsid w:val="0002674E"/>
    <w:rsid w:val="00043E6F"/>
    <w:rsid w:val="000B3A0A"/>
    <w:rsid w:val="000C507E"/>
    <w:rsid w:val="000E4143"/>
    <w:rsid w:val="000E4EB2"/>
    <w:rsid w:val="00120EA6"/>
    <w:rsid w:val="00133061"/>
    <w:rsid w:val="00154514"/>
    <w:rsid w:val="001843FC"/>
    <w:rsid w:val="001B7669"/>
    <w:rsid w:val="001C29C8"/>
    <w:rsid w:val="0026438D"/>
    <w:rsid w:val="00267C50"/>
    <w:rsid w:val="002C7D85"/>
    <w:rsid w:val="002F5327"/>
    <w:rsid w:val="00354366"/>
    <w:rsid w:val="003C33A4"/>
    <w:rsid w:val="003F0246"/>
    <w:rsid w:val="004753A4"/>
    <w:rsid w:val="00491409"/>
    <w:rsid w:val="004A3AD8"/>
    <w:rsid w:val="004A77C5"/>
    <w:rsid w:val="004B03AD"/>
    <w:rsid w:val="0051533D"/>
    <w:rsid w:val="0052018D"/>
    <w:rsid w:val="00537221"/>
    <w:rsid w:val="00561A6D"/>
    <w:rsid w:val="005760A0"/>
    <w:rsid w:val="005C59BA"/>
    <w:rsid w:val="005E6129"/>
    <w:rsid w:val="006000C7"/>
    <w:rsid w:val="00605D3A"/>
    <w:rsid w:val="00615FF7"/>
    <w:rsid w:val="00652EAA"/>
    <w:rsid w:val="006662BF"/>
    <w:rsid w:val="00666456"/>
    <w:rsid w:val="006C3662"/>
    <w:rsid w:val="006D2E70"/>
    <w:rsid w:val="00706917"/>
    <w:rsid w:val="00723697"/>
    <w:rsid w:val="00726461"/>
    <w:rsid w:val="00776CFE"/>
    <w:rsid w:val="007A11C2"/>
    <w:rsid w:val="007A370F"/>
    <w:rsid w:val="007F2875"/>
    <w:rsid w:val="00874209"/>
    <w:rsid w:val="008D6C31"/>
    <w:rsid w:val="009A3FB7"/>
    <w:rsid w:val="009B5C77"/>
    <w:rsid w:val="009D36FB"/>
    <w:rsid w:val="00A300DD"/>
    <w:rsid w:val="00A525DF"/>
    <w:rsid w:val="00A61551"/>
    <w:rsid w:val="00A90E65"/>
    <w:rsid w:val="00AC4CCF"/>
    <w:rsid w:val="00AD61DB"/>
    <w:rsid w:val="00AE6813"/>
    <w:rsid w:val="00AF7ABC"/>
    <w:rsid w:val="00B03FA7"/>
    <w:rsid w:val="00B418DA"/>
    <w:rsid w:val="00B973DB"/>
    <w:rsid w:val="00BE660A"/>
    <w:rsid w:val="00BE79E3"/>
    <w:rsid w:val="00C17C6E"/>
    <w:rsid w:val="00C36FC2"/>
    <w:rsid w:val="00C977CE"/>
    <w:rsid w:val="00D57A2D"/>
    <w:rsid w:val="00D65721"/>
    <w:rsid w:val="00DA36C2"/>
    <w:rsid w:val="00DC6D96"/>
    <w:rsid w:val="00DD0529"/>
    <w:rsid w:val="00DF750E"/>
    <w:rsid w:val="00E052B4"/>
    <w:rsid w:val="00E16F88"/>
    <w:rsid w:val="00E41086"/>
    <w:rsid w:val="00E539F0"/>
    <w:rsid w:val="00E8110C"/>
    <w:rsid w:val="00E84D9C"/>
    <w:rsid w:val="00E90AE4"/>
    <w:rsid w:val="00EE04CF"/>
    <w:rsid w:val="00EF5D67"/>
    <w:rsid w:val="00EF64DD"/>
    <w:rsid w:val="00F91466"/>
    <w:rsid w:val="00F930BE"/>
    <w:rsid w:val="00FC0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70203"/>
  <w15:docId w15:val="{0BC840EA-9341-40F1-AF84-8B0DEA29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9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0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30BE"/>
    <w:rPr>
      <w:sz w:val="18"/>
      <w:szCs w:val="18"/>
    </w:rPr>
  </w:style>
  <w:style w:type="paragraph" w:styleId="a5">
    <w:name w:val="footer"/>
    <w:basedOn w:val="a"/>
    <w:link w:val="a6"/>
    <w:uiPriority w:val="99"/>
    <w:unhideWhenUsed/>
    <w:rsid w:val="00F930BE"/>
    <w:pPr>
      <w:tabs>
        <w:tab w:val="center" w:pos="4153"/>
        <w:tab w:val="right" w:pos="8306"/>
      </w:tabs>
      <w:snapToGrid w:val="0"/>
      <w:jc w:val="left"/>
    </w:pPr>
    <w:rPr>
      <w:sz w:val="18"/>
      <w:szCs w:val="18"/>
    </w:rPr>
  </w:style>
  <w:style w:type="character" w:customStyle="1" w:styleId="a6">
    <w:name w:val="页脚 字符"/>
    <w:basedOn w:val="a0"/>
    <w:link w:val="a5"/>
    <w:uiPriority w:val="99"/>
    <w:rsid w:val="00F930BE"/>
    <w:rPr>
      <w:sz w:val="18"/>
      <w:szCs w:val="18"/>
    </w:rPr>
  </w:style>
  <w:style w:type="character" w:customStyle="1" w:styleId="fontstyle21">
    <w:name w:val="fontstyle21"/>
    <w:rsid w:val="000B3A0A"/>
    <w:rPr>
      <w:rFonts w:ascii="Times New Roman" w:hAnsi="Times New Roman" w:cs="Times New Roman" w:hint="default"/>
      <w:b w:val="0"/>
      <w:bCs w:val="0"/>
      <w:i w:val="0"/>
      <w:iCs w:val="0"/>
      <w:color w:val="000000"/>
      <w:sz w:val="24"/>
      <w:szCs w:val="24"/>
    </w:rPr>
  </w:style>
  <w:style w:type="character" w:styleId="a7">
    <w:name w:val="Hyperlink"/>
    <w:uiPriority w:val="99"/>
    <w:unhideWhenUsed/>
    <w:qFormat/>
    <w:rsid w:val="0052018D"/>
    <w:rPr>
      <w:color w:val="0000FF"/>
      <w:u w:val="single"/>
    </w:rPr>
  </w:style>
  <w:style w:type="paragraph" w:styleId="a8">
    <w:name w:val="Balloon Text"/>
    <w:basedOn w:val="a"/>
    <w:link w:val="a9"/>
    <w:uiPriority w:val="99"/>
    <w:semiHidden/>
    <w:unhideWhenUsed/>
    <w:rsid w:val="009B5C77"/>
    <w:rPr>
      <w:sz w:val="18"/>
      <w:szCs w:val="18"/>
    </w:rPr>
  </w:style>
  <w:style w:type="character" w:customStyle="1" w:styleId="a9">
    <w:name w:val="批注框文本 字符"/>
    <w:basedOn w:val="a0"/>
    <w:link w:val="a8"/>
    <w:uiPriority w:val="99"/>
    <w:semiHidden/>
    <w:rsid w:val="009B5C77"/>
    <w:rPr>
      <w:sz w:val="18"/>
      <w:szCs w:val="18"/>
    </w:rPr>
  </w:style>
  <w:style w:type="character" w:styleId="aa">
    <w:name w:val="annotation reference"/>
    <w:basedOn w:val="a0"/>
    <w:uiPriority w:val="99"/>
    <w:semiHidden/>
    <w:unhideWhenUsed/>
    <w:rsid w:val="00726461"/>
    <w:rPr>
      <w:sz w:val="21"/>
      <w:szCs w:val="21"/>
    </w:rPr>
  </w:style>
  <w:style w:type="paragraph" w:styleId="ab">
    <w:name w:val="annotation text"/>
    <w:basedOn w:val="a"/>
    <w:link w:val="ac"/>
    <w:uiPriority w:val="99"/>
    <w:semiHidden/>
    <w:unhideWhenUsed/>
    <w:rsid w:val="00726461"/>
    <w:pPr>
      <w:jc w:val="left"/>
    </w:pPr>
  </w:style>
  <w:style w:type="character" w:customStyle="1" w:styleId="ac">
    <w:name w:val="批注文字 字符"/>
    <w:basedOn w:val="a0"/>
    <w:link w:val="ab"/>
    <w:uiPriority w:val="99"/>
    <w:semiHidden/>
    <w:rsid w:val="00726461"/>
  </w:style>
  <w:style w:type="paragraph" w:styleId="ad">
    <w:name w:val="annotation subject"/>
    <w:basedOn w:val="ab"/>
    <w:next w:val="ab"/>
    <w:link w:val="ae"/>
    <w:uiPriority w:val="99"/>
    <w:semiHidden/>
    <w:unhideWhenUsed/>
    <w:rsid w:val="00726461"/>
    <w:rPr>
      <w:b/>
      <w:bCs/>
    </w:rPr>
  </w:style>
  <w:style w:type="character" w:customStyle="1" w:styleId="ae">
    <w:name w:val="批注主题 字符"/>
    <w:basedOn w:val="ac"/>
    <w:link w:val="ad"/>
    <w:uiPriority w:val="99"/>
    <w:semiHidden/>
    <w:rsid w:val="00726461"/>
    <w:rPr>
      <w:b/>
      <w:bCs/>
    </w:rPr>
  </w:style>
  <w:style w:type="character" w:customStyle="1" w:styleId="fontstyle01">
    <w:name w:val="fontstyle01"/>
    <w:basedOn w:val="a0"/>
    <w:rsid w:val="00E16F88"/>
    <w:rPr>
      <w:rFonts w:ascii="MyriadPro-Light" w:hAnsi="MyriadPro-Light" w:hint="default"/>
      <w:b w:val="0"/>
      <w:bCs w:val="0"/>
      <w:i w:val="0"/>
      <w:iCs w:val="0"/>
      <w:color w:val="000000"/>
      <w:sz w:val="16"/>
      <w:szCs w:val="16"/>
    </w:rPr>
  </w:style>
  <w:style w:type="table" w:styleId="af">
    <w:name w:val="Table Grid"/>
    <w:basedOn w:val="a1"/>
    <w:uiPriority w:val="39"/>
    <w:rsid w:val="000E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0E4EB2"/>
    <w:rPr>
      <w:rFonts w:ascii="等线" w:eastAsia="等线" w:hAnsi="等线"/>
      <w:noProof/>
      <w:sz w:val="20"/>
    </w:rPr>
  </w:style>
  <w:style w:type="character" w:customStyle="1" w:styleId="EndNoteBibliography0">
    <w:name w:val="EndNote Bibliography 字符"/>
    <w:basedOn w:val="a0"/>
    <w:link w:val="EndNoteBibliography"/>
    <w:rsid w:val="000E4EB2"/>
    <w:rPr>
      <w:rFonts w:ascii="等线" w:eastAsia="等线" w:hAnsi="等线"/>
      <w:noProof/>
      <w:sz w:val="20"/>
    </w:rPr>
  </w:style>
  <w:style w:type="character" w:styleId="af0">
    <w:name w:val="Emphasis"/>
    <w:basedOn w:val="a0"/>
    <w:uiPriority w:val="20"/>
    <w:qFormat/>
    <w:rsid w:val="005C59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490292">
      <w:bodyDiv w:val="1"/>
      <w:marLeft w:val="0"/>
      <w:marRight w:val="0"/>
      <w:marTop w:val="0"/>
      <w:marBottom w:val="0"/>
      <w:divBdr>
        <w:top w:val="none" w:sz="0" w:space="0" w:color="auto"/>
        <w:left w:val="none" w:sz="0" w:space="0" w:color="auto"/>
        <w:bottom w:val="none" w:sz="0" w:space="0" w:color="auto"/>
        <w:right w:val="none" w:sz="0" w:space="0" w:color="auto"/>
      </w:divBdr>
    </w:div>
    <w:div w:id="18531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iodare.ed.ac.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www.biodare.ed.ac.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F919-FCE1-451E-B140-966ECBE2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5</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常天亮</dc:creator>
  <cp:keywords/>
  <dc:description/>
  <cp:lastModifiedBy>can't VC</cp:lastModifiedBy>
  <cp:revision>102</cp:revision>
  <dcterms:created xsi:type="dcterms:W3CDTF">2019-09-04T04:30:00Z</dcterms:created>
  <dcterms:modified xsi:type="dcterms:W3CDTF">2020-12-16T13:42:00Z</dcterms:modified>
</cp:coreProperties>
</file>