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09973" w14:textId="0F25B0E1" w:rsidR="004E0E85" w:rsidRDefault="004F0123">
      <w:pPr>
        <w:widowControl w:val="0"/>
        <w:overflowPunct/>
        <w:jc w:val="both"/>
        <w:textAlignment w:val="auto"/>
        <w:rPr>
          <w:b/>
          <w:szCs w:val="24"/>
          <w:lang w:eastAsia="zh-CN"/>
        </w:rPr>
      </w:pPr>
      <w:r>
        <w:rPr>
          <w:rFonts w:hint="eastAsia"/>
          <w:b/>
          <w:lang w:eastAsia="zh-CN"/>
        </w:rPr>
        <w:t>1</w:t>
      </w:r>
      <w:r>
        <w:rPr>
          <w:b/>
          <w:lang w:eastAsia="zh-CN"/>
        </w:rPr>
        <w:t xml:space="preserve"> </w:t>
      </w:r>
      <w:r w:rsidR="002B54D2">
        <w:rPr>
          <w:b/>
          <w:szCs w:val="24"/>
          <w:lang w:eastAsia="zh-CN"/>
        </w:rPr>
        <w:t>DNA extraction</w:t>
      </w:r>
    </w:p>
    <w:p w14:paraId="3CB0FDFA" w14:textId="77777777" w:rsidR="00453326" w:rsidRPr="00453326" w:rsidRDefault="002B54D2" w:rsidP="00453326">
      <w:pPr>
        <w:snapToGrid w:val="0"/>
        <w:spacing w:line="480" w:lineRule="auto"/>
        <w:rPr>
          <w:sz w:val="20"/>
          <w:lang w:eastAsia="zh-CN"/>
        </w:rPr>
      </w:pPr>
      <w:bookmarkStart w:id="0" w:name="_Hlk36314756"/>
      <w:r w:rsidRPr="00453326">
        <w:rPr>
          <w:sz w:val="20"/>
          <w:lang w:eastAsia="zh-CN"/>
        </w:rPr>
        <w:t xml:space="preserve">Soil DNA was extracted using </w:t>
      </w:r>
      <w:r w:rsidR="00453326" w:rsidRPr="00453326">
        <w:rPr>
          <w:sz w:val="20"/>
          <w:lang w:eastAsia="zh-CN"/>
        </w:rPr>
        <w:t>commercial kit (</w:t>
      </w:r>
      <w:proofErr w:type="spellStart"/>
      <w:r w:rsidR="00453326" w:rsidRPr="00453326">
        <w:rPr>
          <w:sz w:val="20"/>
          <w:lang w:eastAsia="zh-CN"/>
        </w:rPr>
        <w:t>TianGen</w:t>
      </w:r>
      <w:proofErr w:type="spellEnd"/>
      <w:r w:rsidR="00453326" w:rsidRPr="00453326">
        <w:rPr>
          <w:sz w:val="20"/>
          <w:lang w:eastAsia="zh-CN"/>
        </w:rPr>
        <w:t xml:space="preserve">, </w:t>
      </w:r>
      <w:proofErr w:type="spellStart"/>
      <w:r w:rsidR="00453326" w:rsidRPr="00453326">
        <w:rPr>
          <w:sz w:val="20"/>
          <w:lang w:eastAsia="zh-CN"/>
        </w:rPr>
        <w:t>TIANamp</w:t>
      </w:r>
      <w:proofErr w:type="spellEnd"/>
      <w:r w:rsidR="00453326" w:rsidRPr="00453326">
        <w:rPr>
          <w:sz w:val="20"/>
          <w:lang w:eastAsia="zh-CN"/>
        </w:rPr>
        <w:t>, China)</w:t>
      </w:r>
      <w:r w:rsidRPr="00453326">
        <w:rPr>
          <w:sz w:val="20"/>
          <w:lang w:eastAsia="zh-CN"/>
        </w:rPr>
        <w:t xml:space="preserve"> following the manual. </w:t>
      </w:r>
      <w:r w:rsidR="00453326" w:rsidRPr="00453326">
        <w:rPr>
          <w:sz w:val="20"/>
          <w:lang w:eastAsia="zh-CN"/>
        </w:rPr>
        <w:t>The concentration and purity of DNA were assessed with the Micro Drop Ultra Micro Spectrophotometer (Bio-DL, TX, USA). Double distilled water was used as the negative control during the extraction process.</w:t>
      </w:r>
    </w:p>
    <w:p w14:paraId="7A1BA392" w14:textId="6D0C3756" w:rsidR="004E0E85" w:rsidRPr="00453326" w:rsidRDefault="004E0E85">
      <w:pPr>
        <w:widowControl w:val="0"/>
        <w:overflowPunct/>
        <w:autoSpaceDE/>
        <w:autoSpaceDN/>
        <w:adjustRightInd/>
        <w:jc w:val="both"/>
        <w:textAlignment w:val="auto"/>
        <w:rPr>
          <w:rFonts w:ascii="AdvTT2acb703b" w:hAnsi="AdvTT2acb703b" w:cs="AdvTT2acb703b"/>
          <w:color w:val="131313"/>
          <w:sz w:val="20"/>
          <w:lang w:eastAsia="zh-CN"/>
        </w:rPr>
      </w:pPr>
    </w:p>
    <w:bookmarkEnd w:id="0"/>
    <w:p w14:paraId="115F0D3B" w14:textId="33FF5333" w:rsidR="004E0E85" w:rsidRDefault="004F0123">
      <w:pPr>
        <w:widowControl w:val="0"/>
        <w:overflowPunct/>
        <w:autoSpaceDE/>
        <w:autoSpaceDN/>
        <w:adjustRightInd/>
        <w:jc w:val="both"/>
        <w:textAlignment w:val="auto"/>
        <w:rPr>
          <w:b/>
          <w:szCs w:val="24"/>
          <w:lang w:eastAsia="zh-CN"/>
        </w:rPr>
      </w:pPr>
      <w:r>
        <w:rPr>
          <w:b/>
          <w:szCs w:val="24"/>
          <w:lang w:eastAsia="zh-CN"/>
        </w:rPr>
        <w:t xml:space="preserve">2 </w:t>
      </w:r>
      <w:r w:rsidR="002B54D2">
        <w:rPr>
          <w:b/>
          <w:szCs w:val="24"/>
          <w:lang w:eastAsia="zh-CN"/>
        </w:rPr>
        <w:t>PCR amplification</w:t>
      </w:r>
    </w:p>
    <w:p w14:paraId="4F9A7101" w14:textId="77777777" w:rsidR="00453326" w:rsidRPr="005C4A7B" w:rsidRDefault="00453326" w:rsidP="00453326">
      <w:pPr>
        <w:snapToGrid w:val="0"/>
        <w:spacing w:line="480" w:lineRule="auto"/>
        <w:rPr>
          <w:sz w:val="20"/>
          <w:lang w:eastAsia="zh-CN"/>
        </w:rPr>
      </w:pPr>
      <w:r w:rsidRPr="005C4A7B">
        <w:rPr>
          <w:sz w:val="20"/>
          <w:lang w:eastAsia="zh-CN"/>
        </w:rPr>
        <w:t xml:space="preserve">Nested polymerase chain reaction (nested PCR) amplification and 16S rRNA Gene Sequencing. Universal bacterial primers (27F 5’AGAGTTTGATCCTGGCTCAG-3’1492R5’-TACGGYTACCTTGTTACGACTT-3’) (Fredriksson et al., 2019) were used to detect bacterial DNA in the blood samples. PCR amplification was carried out in a 25 </w:t>
      </w:r>
      <w:proofErr w:type="spellStart"/>
      <w:r w:rsidRPr="005C4A7B">
        <w:rPr>
          <w:sz w:val="20"/>
          <w:lang w:eastAsia="zh-CN"/>
        </w:rPr>
        <w:t>μl</w:t>
      </w:r>
      <w:proofErr w:type="spellEnd"/>
      <w:r w:rsidRPr="005C4A7B">
        <w:rPr>
          <w:sz w:val="20"/>
          <w:lang w:eastAsia="zh-CN"/>
        </w:rPr>
        <w:t xml:space="preserve"> reaction mixture containing 2× Taq Plus Master Mix (KAPA 2G Robust </w:t>
      </w:r>
      <w:proofErr w:type="spellStart"/>
      <w:r w:rsidRPr="005C4A7B">
        <w:rPr>
          <w:sz w:val="20"/>
          <w:lang w:eastAsia="zh-CN"/>
        </w:rPr>
        <w:t>HotStart</w:t>
      </w:r>
      <w:proofErr w:type="spellEnd"/>
      <w:r w:rsidRPr="005C4A7B">
        <w:rPr>
          <w:sz w:val="20"/>
          <w:lang w:eastAsia="zh-CN"/>
        </w:rPr>
        <w:t xml:space="preserve"> </w:t>
      </w:r>
      <w:proofErr w:type="spellStart"/>
      <w:r w:rsidRPr="005C4A7B">
        <w:rPr>
          <w:sz w:val="20"/>
          <w:lang w:eastAsia="zh-CN"/>
        </w:rPr>
        <w:t>ReadyMix</w:t>
      </w:r>
      <w:proofErr w:type="spellEnd"/>
      <w:r w:rsidRPr="005C4A7B">
        <w:rPr>
          <w:sz w:val="20"/>
          <w:lang w:eastAsia="zh-CN"/>
        </w:rPr>
        <w:t xml:space="preserve">, Sigma-Aldrich, USA), 5 </w:t>
      </w:r>
      <w:proofErr w:type="spellStart"/>
      <w:r w:rsidRPr="005C4A7B">
        <w:rPr>
          <w:sz w:val="20"/>
          <w:lang w:eastAsia="zh-CN"/>
        </w:rPr>
        <w:t>μM</w:t>
      </w:r>
      <w:proofErr w:type="spellEnd"/>
      <w:r w:rsidRPr="005C4A7B">
        <w:rPr>
          <w:sz w:val="20"/>
          <w:lang w:eastAsia="zh-CN"/>
        </w:rPr>
        <w:t xml:space="preserve"> of the forward and reverse primers, 6 ng bovine serum albumin (BSA), and 30 ng of template DNA. A 2 kb DNA ladder was used as a size marker to assist the analysis of the PCR products. Subsequently, nested PCR was performed using the universal primers (336F 5’-GTACTCCTACGGGAGGCAGCA-3’ 806R 5’-GTGGACTACHVGGGTWTCTAAT-3’) (Wei et al., 2016) targeting the V3-V4 region of the 16S rRNA gene. Doubled distilled water was also used as the negative control.</w:t>
      </w:r>
    </w:p>
    <w:p w14:paraId="0C08FB39" w14:textId="33C7905A" w:rsidR="00453326" w:rsidRPr="005C4A7B" w:rsidRDefault="00453326" w:rsidP="00453326">
      <w:pPr>
        <w:snapToGrid w:val="0"/>
        <w:spacing w:line="480" w:lineRule="auto"/>
        <w:rPr>
          <w:sz w:val="20"/>
          <w:lang w:eastAsia="zh-CN"/>
        </w:rPr>
      </w:pPr>
      <w:r w:rsidRPr="005C4A7B">
        <w:rPr>
          <w:sz w:val="20"/>
          <w:lang w:eastAsia="zh-CN"/>
        </w:rPr>
        <w:t xml:space="preserve">The final PCR products were separated by 2% agarose gel electrophoresis. The ~470 bp fragments obtained were purified using a </w:t>
      </w:r>
      <w:proofErr w:type="spellStart"/>
      <w:r w:rsidRPr="005C4A7B">
        <w:rPr>
          <w:sz w:val="20"/>
          <w:lang w:eastAsia="zh-CN"/>
        </w:rPr>
        <w:t>QIAquick</w:t>
      </w:r>
      <w:proofErr w:type="spellEnd"/>
      <w:r w:rsidRPr="005C4A7B">
        <w:rPr>
          <w:sz w:val="20"/>
          <w:lang w:eastAsia="zh-CN"/>
        </w:rPr>
        <w:t xml:space="preserve"> Gel Extraction Kit (Qiagen, Hilden, Germany) </w:t>
      </w:r>
    </w:p>
    <w:p w14:paraId="28378DA1" w14:textId="394583C2" w:rsidR="004E0E85" w:rsidRDefault="004F0123">
      <w:pPr>
        <w:widowControl w:val="0"/>
        <w:overflowPunct/>
        <w:jc w:val="both"/>
        <w:textAlignment w:val="auto"/>
        <w:rPr>
          <w:b/>
          <w:lang w:eastAsia="zh-CN"/>
        </w:rPr>
      </w:pPr>
      <w:r>
        <w:rPr>
          <w:b/>
          <w:lang w:eastAsia="zh-CN"/>
        </w:rPr>
        <w:t xml:space="preserve">3 </w:t>
      </w:r>
      <w:r w:rsidR="002B54D2">
        <w:rPr>
          <w:b/>
          <w:lang w:eastAsia="zh-CN"/>
        </w:rPr>
        <w:t>High throughput sequencing</w:t>
      </w:r>
    </w:p>
    <w:p w14:paraId="76411700" w14:textId="77777777" w:rsidR="004E0E85" w:rsidRDefault="002B54D2">
      <w:pPr>
        <w:widowControl w:val="0"/>
        <w:overflowPunct/>
        <w:jc w:val="both"/>
        <w:textAlignment w:val="auto"/>
        <w:rPr>
          <w:sz w:val="20"/>
          <w:lang w:eastAsia="zh-CN"/>
        </w:rPr>
      </w:pPr>
      <w:r>
        <w:rPr>
          <w:sz w:val="20"/>
          <w:lang w:eastAsia="zh-CN"/>
        </w:rPr>
        <w:t xml:space="preserve">Deep sequencing was performed on </w:t>
      </w:r>
      <w:proofErr w:type="spellStart"/>
      <w:r>
        <w:rPr>
          <w:rFonts w:hint="eastAsia"/>
          <w:sz w:val="20"/>
          <w:lang w:eastAsia="zh-CN"/>
        </w:rPr>
        <w:t>Miseq</w:t>
      </w:r>
      <w:proofErr w:type="spellEnd"/>
      <w:r>
        <w:rPr>
          <w:sz w:val="20"/>
          <w:lang w:eastAsia="zh-CN"/>
        </w:rPr>
        <w:t xml:space="preserve"> platform at </w:t>
      </w:r>
      <w:proofErr w:type="spellStart"/>
      <w:r>
        <w:rPr>
          <w:rFonts w:hint="eastAsia"/>
          <w:sz w:val="20"/>
          <w:lang w:eastAsia="zh-CN"/>
        </w:rPr>
        <w:t>Allwegene</w:t>
      </w:r>
      <w:proofErr w:type="spellEnd"/>
      <w:r>
        <w:rPr>
          <w:sz w:val="20"/>
          <w:lang w:eastAsia="zh-CN"/>
        </w:rPr>
        <w:t xml:space="preserve"> Company (Beijing). After the run, image analysis, base calling and error estimation were performed using Illumina Analysis Pipeline </w:t>
      </w:r>
      <w:r>
        <w:rPr>
          <w:rFonts w:hint="eastAsia"/>
          <w:sz w:val="20"/>
          <w:lang w:eastAsia="zh-CN"/>
        </w:rPr>
        <w:t>V</w:t>
      </w:r>
      <w:r>
        <w:rPr>
          <w:sz w:val="20"/>
          <w:lang w:eastAsia="zh-CN"/>
        </w:rPr>
        <w:t>ersion 2.6.</w:t>
      </w:r>
    </w:p>
    <w:p w14:paraId="3A1C6013" w14:textId="36A6E31E" w:rsidR="004E0E85" w:rsidRDefault="004F0123">
      <w:pPr>
        <w:widowControl w:val="0"/>
        <w:overflowPunct/>
        <w:jc w:val="both"/>
        <w:textAlignment w:val="auto"/>
        <w:rPr>
          <w:b/>
          <w:lang w:eastAsia="zh-CN"/>
        </w:rPr>
      </w:pPr>
      <w:r>
        <w:rPr>
          <w:b/>
          <w:lang w:eastAsia="zh-CN"/>
        </w:rPr>
        <w:t xml:space="preserve">4 </w:t>
      </w:r>
      <w:r w:rsidR="002B54D2">
        <w:rPr>
          <w:b/>
          <w:lang w:eastAsia="zh-CN"/>
        </w:rPr>
        <w:t>Data analyses</w:t>
      </w:r>
    </w:p>
    <w:p w14:paraId="6D9E8327" w14:textId="295184E5" w:rsidR="004E0E85" w:rsidRDefault="002B54D2">
      <w:pPr>
        <w:widowControl w:val="0"/>
        <w:overflowPunct/>
        <w:jc w:val="both"/>
        <w:textAlignment w:val="auto"/>
        <w:rPr>
          <w:sz w:val="20"/>
          <w:lang w:eastAsia="zh-CN"/>
        </w:rPr>
      </w:pPr>
      <w:r>
        <w:rPr>
          <w:sz w:val="20"/>
          <w:lang w:eastAsia="zh-CN"/>
        </w:rPr>
        <w:t xml:space="preserve">The raw data were first screened and sequences were removed from consideration if they were shorter than </w:t>
      </w:r>
      <w:r>
        <w:rPr>
          <w:rFonts w:hint="eastAsia"/>
          <w:sz w:val="20"/>
          <w:lang w:eastAsia="zh-CN"/>
        </w:rPr>
        <w:t>2</w:t>
      </w:r>
      <w:r w:rsidR="00807A14">
        <w:rPr>
          <w:rFonts w:hint="eastAsia"/>
          <w:sz w:val="20"/>
          <w:lang w:eastAsia="zh-CN"/>
        </w:rPr>
        <w:t>3</w:t>
      </w:r>
      <w:r>
        <w:rPr>
          <w:sz w:val="20"/>
          <w:lang w:eastAsia="zh-CN"/>
        </w:rPr>
        <w:t xml:space="preserve">0 bp, had a low quality score (≤ 20), contained ambiguous bases or did not exactly match to primer sequences and barcode tags. Qualified reads were separated using the sample-specific barcode sequences and trimmed with Illumina Analysis Pipeline </w:t>
      </w:r>
      <w:r>
        <w:rPr>
          <w:rFonts w:hint="eastAsia"/>
          <w:sz w:val="20"/>
          <w:lang w:eastAsia="zh-CN"/>
        </w:rPr>
        <w:t>V</w:t>
      </w:r>
      <w:r>
        <w:rPr>
          <w:sz w:val="20"/>
          <w:lang w:eastAsia="zh-CN"/>
        </w:rPr>
        <w:t>ersion 2.6.</w:t>
      </w:r>
      <w:bookmarkStart w:id="1" w:name="OLE_LINK61"/>
      <w:r>
        <w:rPr>
          <w:rFonts w:hint="eastAsia"/>
          <w:sz w:val="20"/>
          <w:lang w:eastAsia="zh-CN"/>
        </w:rPr>
        <w:t xml:space="preserve"> And then the dataset were analyzed using QIIME.</w:t>
      </w:r>
      <w:bookmarkEnd w:id="1"/>
      <w:r>
        <w:rPr>
          <w:rFonts w:hint="eastAsia"/>
          <w:sz w:val="20"/>
          <w:lang w:eastAsia="zh-CN"/>
        </w:rPr>
        <w:t xml:space="preserve"> </w:t>
      </w:r>
      <w:r>
        <w:rPr>
          <w:sz w:val="20"/>
          <w:lang w:eastAsia="zh-CN"/>
        </w:rPr>
        <w:t>T</w:t>
      </w:r>
      <w:r>
        <w:rPr>
          <w:rFonts w:hint="eastAsia"/>
          <w:sz w:val="20"/>
          <w:lang w:eastAsia="zh-CN"/>
        </w:rPr>
        <w:t>he sequences were</w:t>
      </w:r>
      <w:r>
        <w:rPr>
          <w:sz w:val="20"/>
          <w:lang w:eastAsia="zh-CN"/>
        </w:rPr>
        <w:t xml:space="preserve"> </w:t>
      </w:r>
      <w:proofErr w:type="spellStart"/>
      <w:r>
        <w:rPr>
          <w:sz w:val="20"/>
          <w:lang w:eastAsia="zh-CN"/>
        </w:rPr>
        <w:t>cluster</w:t>
      </w:r>
      <w:r>
        <w:rPr>
          <w:rFonts w:hint="eastAsia"/>
          <w:sz w:val="20"/>
          <w:lang w:eastAsia="zh-CN"/>
        </w:rPr>
        <w:t>ed</w:t>
      </w:r>
      <w:r>
        <w:rPr>
          <w:sz w:val="20"/>
          <w:lang w:eastAsia="zh-CN"/>
        </w:rPr>
        <w:t>s</w:t>
      </w:r>
      <w:proofErr w:type="spellEnd"/>
      <w:r>
        <w:rPr>
          <w:sz w:val="20"/>
          <w:lang w:eastAsia="zh-CN"/>
        </w:rPr>
        <w:t xml:space="preserve"> into operational taxonomic units (OTUs) at a </w:t>
      </w:r>
      <w:r>
        <w:rPr>
          <w:sz w:val="20"/>
          <w:lang w:eastAsia="zh-CN"/>
        </w:rPr>
        <w:lastRenderedPageBreak/>
        <w:t xml:space="preserve">similarity level of </w:t>
      </w:r>
      <w:r>
        <w:rPr>
          <w:rFonts w:hint="eastAsia"/>
          <w:sz w:val="20"/>
          <w:lang w:eastAsia="zh-CN"/>
        </w:rPr>
        <w:t>97</w:t>
      </w:r>
      <w:r>
        <w:rPr>
          <w:sz w:val="20"/>
          <w:lang w:eastAsia="zh-CN"/>
        </w:rPr>
        <w:t xml:space="preserve">%, to generate rarefaction curves and to calculate the richness and diversity indices. The Ribosomal Database Project (RDP) </w:t>
      </w:r>
      <w:bookmarkStart w:id="2" w:name="_Hlk33198035"/>
      <w:r>
        <w:rPr>
          <w:sz w:val="20"/>
          <w:lang w:eastAsia="zh-CN"/>
        </w:rPr>
        <w:t>Classifier</w:t>
      </w:r>
      <w:bookmarkEnd w:id="2"/>
      <w:r>
        <w:rPr>
          <w:sz w:val="20"/>
          <w:lang w:eastAsia="zh-CN"/>
        </w:rPr>
        <w:t xml:space="preserve"> tool was used to classify all sequences into different taxonomic groups.</w:t>
      </w:r>
    </w:p>
    <w:p w14:paraId="751A6F98" w14:textId="56623948" w:rsidR="004E0E85" w:rsidRDefault="002B54D2">
      <w:pPr>
        <w:widowControl w:val="0"/>
        <w:overflowPunct/>
        <w:ind w:firstLine="420"/>
        <w:jc w:val="both"/>
        <w:textAlignment w:val="auto"/>
        <w:rPr>
          <w:sz w:val="20"/>
          <w:lang w:eastAsia="zh-CN"/>
        </w:rPr>
      </w:pPr>
      <w:r>
        <w:rPr>
          <w:sz w:val="20"/>
          <w:lang w:eastAsia="zh-CN"/>
        </w:rPr>
        <w:t xml:space="preserve">To examine the similarity between different samples, </w:t>
      </w:r>
      <w:r>
        <w:rPr>
          <w:rFonts w:ascii="AdvMelior-R" w:hAnsi="AdvMelior-R" w:cs="AdvMelior-R"/>
          <w:sz w:val="20"/>
          <w:lang w:eastAsia="zh-CN"/>
        </w:rPr>
        <w:t>clustering analyses</w:t>
      </w:r>
      <w:r>
        <w:rPr>
          <w:sz w:val="20"/>
          <w:lang w:eastAsia="zh-CN"/>
        </w:rPr>
        <w:t xml:space="preserve"> </w:t>
      </w:r>
      <w:r>
        <w:rPr>
          <w:rFonts w:hint="eastAsia"/>
          <w:sz w:val="20"/>
          <w:lang w:eastAsia="zh-CN"/>
        </w:rPr>
        <w:t xml:space="preserve">and PCA </w:t>
      </w:r>
      <w:r>
        <w:rPr>
          <w:sz w:val="20"/>
          <w:lang w:eastAsia="zh-CN"/>
        </w:rPr>
        <w:t xml:space="preserve">were used based on the OTU information from each sample </w:t>
      </w:r>
      <w:r>
        <w:rPr>
          <w:rFonts w:hint="eastAsia"/>
          <w:sz w:val="20"/>
          <w:lang w:eastAsia="zh-CN"/>
        </w:rPr>
        <w:t>using R</w:t>
      </w:r>
      <w:r>
        <w:rPr>
          <w:sz w:val="20"/>
          <w:lang w:eastAsia="zh-CN"/>
        </w:rPr>
        <w:t>. The</w:t>
      </w:r>
      <w:r>
        <w:rPr>
          <w:rFonts w:hint="eastAsia"/>
          <w:sz w:val="20"/>
          <w:lang w:eastAsia="zh-CN"/>
        </w:rPr>
        <w:t xml:space="preserve"> evolution</w:t>
      </w:r>
      <w:r>
        <w:rPr>
          <w:sz w:val="20"/>
          <w:lang w:eastAsia="zh-CN"/>
        </w:rPr>
        <w:t xml:space="preserve"> distances between microbial communities from each sample were calculated using the </w:t>
      </w:r>
      <w:bookmarkStart w:id="3" w:name="OLE_LINK96"/>
      <w:bookmarkStart w:id="4" w:name="OLE_LINK95"/>
      <w:proofErr w:type="spellStart"/>
      <w:r>
        <w:rPr>
          <w:sz w:val="20"/>
          <w:lang w:eastAsia="zh-CN"/>
        </w:rPr>
        <w:t>the</w:t>
      </w:r>
      <w:proofErr w:type="spellEnd"/>
      <w:r>
        <w:rPr>
          <w:rFonts w:hint="eastAsia"/>
          <w:sz w:val="20"/>
          <w:lang w:eastAsia="zh-CN"/>
        </w:rPr>
        <w:t xml:space="preserve"> </w:t>
      </w:r>
      <w:bookmarkEnd w:id="3"/>
      <w:bookmarkEnd w:id="4"/>
      <w:r w:rsidR="00721BDB">
        <w:rPr>
          <w:sz w:val="20"/>
          <w:lang w:eastAsia="zh-CN"/>
        </w:rPr>
        <w:t>B</w:t>
      </w:r>
      <w:r w:rsidR="00721BDB" w:rsidRPr="00453D6C">
        <w:rPr>
          <w:sz w:val="20"/>
          <w:lang w:eastAsia="zh-CN"/>
        </w:rPr>
        <w:t xml:space="preserve">ray </w:t>
      </w:r>
      <w:r w:rsidR="00721BDB">
        <w:rPr>
          <w:sz w:val="20"/>
          <w:lang w:eastAsia="zh-CN"/>
        </w:rPr>
        <w:t>C</w:t>
      </w:r>
      <w:r w:rsidR="00721BDB" w:rsidRPr="00453D6C">
        <w:rPr>
          <w:sz w:val="20"/>
          <w:lang w:eastAsia="zh-CN"/>
        </w:rPr>
        <w:t>urtis</w:t>
      </w:r>
      <w:r w:rsidR="00721BDB" w:rsidRPr="00B40425">
        <w:rPr>
          <w:sz w:val="20"/>
          <w:lang w:eastAsia="zh-CN"/>
        </w:rPr>
        <w:t xml:space="preserve"> algorithms</w:t>
      </w:r>
      <w:r>
        <w:rPr>
          <w:sz w:val="20"/>
          <w:lang w:eastAsia="zh-CN"/>
        </w:rPr>
        <w:t xml:space="preserve"> and represented as an Unweighted Pair Group Method with Arithmetic Mean (UPGMA) clustering tree describing the dissimilarity (1-similarity) between multiple samples. A </w:t>
      </w:r>
      <w:proofErr w:type="spellStart"/>
      <w:r>
        <w:rPr>
          <w:sz w:val="20"/>
          <w:lang w:eastAsia="zh-CN"/>
        </w:rPr>
        <w:t>Newick</w:t>
      </w:r>
      <w:proofErr w:type="spellEnd"/>
      <w:r>
        <w:rPr>
          <w:sz w:val="20"/>
          <w:lang w:eastAsia="zh-CN"/>
        </w:rPr>
        <w:t xml:space="preserve">-formatted tree file was generated through this analysis. To compare the membership and structure of communities in different samples, heat maps were generated with the top </w:t>
      </w:r>
      <w:r>
        <w:rPr>
          <w:rFonts w:hint="eastAsia"/>
          <w:sz w:val="20"/>
          <w:lang w:eastAsia="zh-CN"/>
        </w:rPr>
        <w:t>2</w:t>
      </w:r>
      <w:r>
        <w:rPr>
          <w:sz w:val="20"/>
          <w:lang w:eastAsia="zh-CN"/>
        </w:rPr>
        <w:t xml:space="preserve">0 OTUs using </w:t>
      </w:r>
      <w:proofErr w:type="spellStart"/>
      <w:r>
        <w:rPr>
          <w:sz w:val="20"/>
          <w:lang w:eastAsia="zh-CN"/>
        </w:rPr>
        <w:t>Mothur</w:t>
      </w:r>
      <w:proofErr w:type="spellEnd"/>
      <w:r>
        <w:rPr>
          <w:sz w:val="20"/>
          <w:lang w:eastAsia="zh-CN"/>
        </w:rPr>
        <w:t xml:space="preserve">. </w:t>
      </w:r>
    </w:p>
    <w:p w14:paraId="784112C4" w14:textId="5E73D1A8" w:rsidR="004E0E85" w:rsidRDefault="004E0E85" w:rsidP="005C4A7B">
      <w:pPr>
        <w:tabs>
          <w:tab w:val="left" w:pos="312"/>
        </w:tabs>
        <w:rPr>
          <w:rFonts w:ascii="微软雅黑" w:eastAsia="微软雅黑" w:hAnsi="微软雅黑" w:cs="微软雅黑"/>
          <w:color w:val="666666"/>
          <w:sz w:val="14"/>
          <w:szCs w:val="14"/>
          <w:lang w:eastAsia="zh-CN"/>
        </w:rPr>
      </w:pPr>
    </w:p>
    <w:sectPr w:rsidR="004E0E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E89F90" w14:textId="77777777" w:rsidR="00B7196F" w:rsidRDefault="00B7196F" w:rsidP="00CD5D80">
      <w:pPr>
        <w:spacing w:line="240" w:lineRule="auto"/>
      </w:pPr>
      <w:r>
        <w:separator/>
      </w:r>
    </w:p>
  </w:endnote>
  <w:endnote w:type="continuationSeparator" w:id="0">
    <w:p w14:paraId="799B1444" w14:textId="77777777" w:rsidR="00B7196F" w:rsidRDefault="00B7196F" w:rsidP="00CD5D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vTT2acb703b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AdvMelior-R">
    <w:altName w:val="Times New Roman"/>
    <w:charset w:val="00"/>
    <w:family w:val="roman"/>
    <w:pitch w:val="default"/>
    <w:sig w:usb0="00000000" w:usb1="0000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A9A471" w14:textId="77777777" w:rsidR="00B7196F" w:rsidRDefault="00B7196F" w:rsidP="00CD5D80">
      <w:pPr>
        <w:spacing w:line="240" w:lineRule="auto"/>
      </w:pPr>
      <w:r>
        <w:separator/>
      </w:r>
    </w:p>
  </w:footnote>
  <w:footnote w:type="continuationSeparator" w:id="0">
    <w:p w14:paraId="3E264164" w14:textId="77777777" w:rsidR="00B7196F" w:rsidRDefault="00B7196F" w:rsidP="00CD5D8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A812B22"/>
    <w:multiLevelType w:val="singleLevel"/>
    <w:tmpl w:val="AA812B22"/>
    <w:lvl w:ilvl="0">
      <w:start w:val="1"/>
      <w:numFmt w:val="decimal"/>
      <w:lvlText w:val="[%1]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26AB1"/>
    <w:rsid w:val="000965B1"/>
    <w:rsid w:val="000A5542"/>
    <w:rsid w:val="0010610C"/>
    <w:rsid w:val="00172A27"/>
    <w:rsid w:val="001D236C"/>
    <w:rsid w:val="002370E1"/>
    <w:rsid w:val="002422B5"/>
    <w:rsid w:val="002919FA"/>
    <w:rsid w:val="002A00F3"/>
    <w:rsid w:val="002B1663"/>
    <w:rsid w:val="002B54D2"/>
    <w:rsid w:val="0044111D"/>
    <w:rsid w:val="00453326"/>
    <w:rsid w:val="004A1166"/>
    <w:rsid w:val="004A485D"/>
    <w:rsid w:val="004A6CDB"/>
    <w:rsid w:val="004E0E85"/>
    <w:rsid w:val="004F0123"/>
    <w:rsid w:val="005C4A7B"/>
    <w:rsid w:val="006342B8"/>
    <w:rsid w:val="0064678F"/>
    <w:rsid w:val="00701E2B"/>
    <w:rsid w:val="00721BDB"/>
    <w:rsid w:val="007D3328"/>
    <w:rsid w:val="00807A14"/>
    <w:rsid w:val="00835C0D"/>
    <w:rsid w:val="008B411A"/>
    <w:rsid w:val="008F304C"/>
    <w:rsid w:val="00907439"/>
    <w:rsid w:val="009E4C19"/>
    <w:rsid w:val="00B664A2"/>
    <w:rsid w:val="00B7196F"/>
    <w:rsid w:val="00B957FF"/>
    <w:rsid w:val="00C24D64"/>
    <w:rsid w:val="00CD5D80"/>
    <w:rsid w:val="00D73FBB"/>
    <w:rsid w:val="1DA403FA"/>
    <w:rsid w:val="53146E06"/>
    <w:rsid w:val="57893C02"/>
    <w:rsid w:val="7DFC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32391D"/>
  <w15:docId w15:val="{4C1AFEA7-D846-4E2C-A739-D19A7603C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448</Words>
  <Characters>2554</Characters>
  <Application>Microsoft Office Word</Application>
  <DocSecurity>0</DocSecurity>
  <Lines>21</Lines>
  <Paragraphs>5</Paragraphs>
  <ScaleCrop>false</ScaleCrop>
  <Company>Win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yangruiheng</dc:creator>
  <cp:lastModifiedBy>张 文怡</cp:lastModifiedBy>
  <cp:revision>21</cp:revision>
  <dcterms:created xsi:type="dcterms:W3CDTF">2017-09-28T01:20:00Z</dcterms:created>
  <dcterms:modified xsi:type="dcterms:W3CDTF">2020-12-16T13:50:00Z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