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63" w:rsidRPr="00483695" w:rsidRDefault="00433B63" w:rsidP="00433B63">
      <w:pPr>
        <w:rPr>
          <w:rFonts w:ascii="Palatino Linotype" w:hAnsi="Palatino Linotype"/>
          <w:b/>
          <w:sz w:val="18"/>
          <w:szCs w:val="18"/>
          <w:lang w:bidi="en-US"/>
        </w:rPr>
      </w:pPr>
      <w:r>
        <w:rPr>
          <w:rFonts w:ascii="Palatino Linotype" w:hAnsi="Palatino Linotype"/>
          <w:b/>
          <w:bCs/>
          <w:sz w:val="18"/>
          <w:szCs w:val="18"/>
          <w:lang w:bidi="en-US"/>
        </w:rPr>
        <w:t>Figure S1</w:t>
      </w:r>
      <w:r w:rsidRPr="00C24DFE">
        <w:rPr>
          <w:rFonts w:ascii="Palatino Linotype" w:hAnsi="Palatino Linotype"/>
          <w:b/>
          <w:bCs/>
          <w:sz w:val="18"/>
          <w:szCs w:val="18"/>
          <w:lang w:bidi="en-US"/>
        </w:rPr>
        <w:t>:</w:t>
      </w:r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 xml:space="preserve"> </w:t>
      </w:r>
      <w:r>
        <w:rPr>
          <w:rFonts w:ascii="Palatino Linotype" w:hAnsi="Palatino Linotype"/>
          <w:b/>
          <w:bCs/>
          <w:sz w:val="18"/>
          <w:szCs w:val="18"/>
          <w:lang w:bidi="en-US"/>
        </w:rPr>
        <w:t xml:space="preserve">Glycan analysis of </w:t>
      </w:r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>GA733-Fc</w:t>
      </w:r>
      <w:r w:rsidRPr="00483695">
        <w:rPr>
          <w:rFonts w:ascii="Palatino Linotype" w:hAnsi="Palatino Linotype"/>
          <w:b/>
          <w:bCs/>
          <w:sz w:val="18"/>
          <w:szCs w:val="18"/>
          <w:vertAlign w:val="superscript"/>
          <w:lang w:bidi="en-US"/>
        </w:rPr>
        <w:t>P</w:t>
      </w:r>
      <w:r>
        <w:rPr>
          <w:rFonts w:ascii="Palatino Linotype" w:hAnsi="Palatino Linotype"/>
          <w:b/>
          <w:bCs/>
          <w:sz w:val="18"/>
          <w:szCs w:val="18"/>
          <w:vertAlign w:val="superscript"/>
          <w:lang w:bidi="en-US"/>
        </w:rPr>
        <w:t xml:space="preserve"> </w:t>
      </w:r>
      <w:r>
        <w:rPr>
          <w:rFonts w:ascii="Palatino Linotype" w:hAnsi="Palatino Linotype"/>
          <w:b/>
          <w:bCs/>
          <w:sz w:val="18"/>
          <w:szCs w:val="18"/>
          <w:lang w:bidi="en-US"/>
        </w:rPr>
        <w:t>(A)</w:t>
      </w:r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 xml:space="preserve"> and GA733-FcK</w:t>
      </w:r>
      <w:r w:rsidRPr="00483695">
        <w:rPr>
          <w:rFonts w:ascii="Palatino Linotype" w:hAnsi="Palatino Linotype"/>
          <w:b/>
          <w:bCs/>
          <w:sz w:val="18"/>
          <w:szCs w:val="18"/>
          <w:vertAlign w:val="superscript"/>
          <w:lang w:bidi="en-US"/>
        </w:rPr>
        <w:t>P</w:t>
      </w:r>
      <w:r>
        <w:rPr>
          <w:rFonts w:ascii="Palatino Linotype" w:hAnsi="Palatino Linotype"/>
          <w:b/>
          <w:bCs/>
          <w:sz w:val="18"/>
          <w:szCs w:val="18"/>
          <w:vertAlign w:val="superscript"/>
          <w:lang w:bidi="en-US"/>
        </w:rPr>
        <w:t xml:space="preserve"> </w:t>
      </w:r>
      <w:r>
        <w:rPr>
          <w:rFonts w:ascii="Palatino Linotype" w:hAnsi="Palatino Linotype"/>
          <w:b/>
          <w:bCs/>
          <w:sz w:val="18"/>
          <w:szCs w:val="18"/>
          <w:lang w:bidi="en-US"/>
        </w:rPr>
        <w:t>(B)</w:t>
      </w:r>
      <w:r>
        <w:rPr>
          <w:rFonts w:ascii="Palatino Linotype" w:hAnsi="Palatino Linotype"/>
          <w:b/>
          <w:bCs/>
          <w:sz w:val="18"/>
          <w:szCs w:val="18"/>
          <w:vertAlign w:val="superscript"/>
          <w:lang w:bidi="en-U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bidi="en-US"/>
        </w:rPr>
        <w:t>proteins by High Performance Liquid Chromatography (HPLC)</w:t>
      </w:r>
    </w:p>
    <w:p w:rsidR="00433B63" w:rsidRDefault="00433B63" w:rsidP="00433B63">
      <w:pPr>
        <w:rPr>
          <w:rFonts w:eastAsia="맑은 고딕"/>
          <w:sz w:val="18"/>
          <w:szCs w:val="18"/>
          <w:lang w:bidi="en-US"/>
        </w:rPr>
      </w:pPr>
      <w:r>
        <w:rPr>
          <w:rFonts w:ascii="Palatino Linotype" w:hAnsi="Palatino Linotype"/>
          <w:sz w:val="18"/>
          <w:szCs w:val="18"/>
          <w:lang w:bidi="en-US"/>
        </w:rPr>
        <w:t>N-glycan released from GA733-Fc</w:t>
      </w:r>
      <w:r w:rsidRPr="009E3994">
        <w:rPr>
          <w:rFonts w:ascii="Palatino Linotype" w:hAnsi="Palatino Linotype"/>
          <w:sz w:val="18"/>
          <w:szCs w:val="18"/>
          <w:vertAlign w:val="superscript"/>
          <w:lang w:bidi="en-US"/>
        </w:rPr>
        <w:t>P</w:t>
      </w:r>
      <w:r>
        <w:rPr>
          <w:rFonts w:ascii="Palatino Linotype" w:hAnsi="Palatino Linotype"/>
          <w:sz w:val="18"/>
          <w:szCs w:val="18"/>
          <w:lang w:bidi="en-US"/>
        </w:rPr>
        <w:t xml:space="preserve"> (A) and GA733-FcK</w:t>
      </w:r>
      <w:r w:rsidRPr="009E3994">
        <w:rPr>
          <w:rFonts w:ascii="Palatino Linotype" w:hAnsi="Palatino Linotype"/>
          <w:sz w:val="18"/>
          <w:szCs w:val="18"/>
          <w:vertAlign w:val="superscript"/>
          <w:lang w:bidi="en-US"/>
        </w:rPr>
        <w:t>P</w:t>
      </w:r>
      <w:r>
        <w:rPr>
          <w:rFonts w:ascii="Palatino Linotype" w:hAnsi="Palatino Linotype"/>
          <w:sz w:val="18"/>
          <w:szCs w:val="18"/>
          <w:lang w:bidi="en-US"/>
        </w:rPr>
        <w:t xml:space="preserve"> (B) structure profiles were analyzed using HPLC. The glycan structures are displayed according to each peak in the graph. </w:t>
      </w:r>
      <w:proofErr w:type="spellStart"/>
      <w:r>
        <w:rPr>
          <w:rFonts w:ascii="Palatino Linotype" w:hAnsi="Palatino Linotype"/>
          <w:sz w:val="18"/>
          <w:szCs w:val="18"/>
          <w:lang w:bidi="en-US"/>
        </w:rPr>
        <w:t>GlcNAc</w:t>
      </w:r>
      <w:proofErr w:type="spellEnd"/>
      <w:r>
        <w:rPr>
          <w:rFonts w:ascii="Palatino Linotype" w:hAnsi="Palatino Linotype"/>
          <w:sz w:val="18"/>
          <w:szCs w:val="18"/>
          <w:lang w:bidi="en-US"/>
        </w:rPr>
        <w:t xml:space="preserve">, the square; mannose, the white circle; </w:t>
      </w:r>
      <w:proofErr w:type="gramStart"/>
      <w:r w:rsidRPr="009E3994">
        <w:rPr>
          <w:rFonts w:eastAsia="맑은 고딕"/>
          <w:sz w:val="18"/>
          <w:szCs w:val="18"/>
          <w:lang w:bidi="en-US"/>
        </w:rPr>
        <w:t>α</w:t>
      </w:r>
      <w:r>
        <w:rPr>
          <w:rFonts w:eastAsia="맑은 고딕"/>
          <w:sz w:val="18"/>
          <w:szCs w:val="18"/>
          <w:lang w:bidi="en-US"/>
        </w:rPr>
        <w:t>(</w:t>
      </w:r>
      <w:proofErr w:type="gramEnd"/>
      <w:r>
        <w:rPr>
          <w:rFonts w:eastAsia="맑은 고딕"/>
          <w:sz w:val="18"/>
          <w:szCs w:val="18"/>
          <w:lang w:bidi="en-US"/>
        </w:rPr>
        <w:t>1,3)-</w:t>
      </w:r>
      <w:proofErr w:type="spellStart"/>
      <w:r>
        <w:rPr>
          <w:rFonts w:eastAsia="맑은 고딕"/>
          <w:sz w:val="18"/>
          <w:szCs w:val="18"/>
          <w:lang w:bidi="en-US"/>
        </w:rPr>
        <w:t>fucose</w:t>
      </w:r>
      <w:proofErr w:type="spellEnd"/>
      <w:r>
        <w:rPr>
          <w:rFonts w:eastAsia="맑은 고딕"/>
          <w:sz w:val="18"/>
          <w:szCs w:val="18"/>
          <w:lang w:bidi="en-US"/>
        </w:rPr>
        <w:t xml:space="preserve">, double diamond; </w:t>
      </w:r>
      <w:r w:rsidRPr="00BF4176">
        <w:rPr>
          <w:rFonts w:eastAsia="맑은 고딕"/>
          <w:sz w:val="18"/>
          <w:szCs w:val="18"/>
          <w:lang w:bidi="en-US"/>
        </w:rPr>
        <w:t>β</w:t>
      </w:r>
      <w:r>
        <w:rPr>
          <w:rFonts w:eastAsia="맑은 고딕"/>
          <w:sz w:val="18"/>
          <w:szCs w:val="18"/>
          <w:lang w:bidi="en-US"/>
        </w:rPr>
        <w:t>(1,2)-xylose, the white triangle.</w:t>
      </w:r>
    </w:p>
    <w:p w:rsidR="00433B63" w:rsidRDefault="00433B63" w:rsidP="00433B63">
      <w:pPr>
        <w:rPr>
          <w:rFonts w:ascii="Palatino Linotype" w:hAnsi="Palatino Linotype"/>
          <w:sz w:val="18"/>
          <w:szCs w:val="18"/>
          <w:lang w:bidi="en-US"/>
        </w:rPr>
      </w:pPr>
      <w:r w:rsidRPr="00BF4176">
        <w:rPr>
          <w:rFonts w:ascii="Palatino Linotype" w:hAnsi="Palatino Linotype"/>
          <w:noProof/>
          <w:sz w:val="18"/>
          <w:szCs w:val="18"/>
          <w:lang w:eastAsia="ko-KR"/>
        </w:rPr>
        <w:drawing>
          <wp:inline distT="0" distB="0" distL="0" distR="0" wp14:anchorId="6C1E74C7" wp14:editId="6772F3CC">
            <wp:extent cx="5731510" cy="5778971"/>
            <wp:effectExtent l="0" t="0" r="2540" b="0"/>
            <wp:docPr id="3" name="그림 3" descr="I:\Fc, FcK infiltration 논문작성\Fc FcK 논문 참고자료\Editing 완료\PeerJ submission\PeerJ Revision\HPLC figure\HPLC 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c, FcK infiltration 논문작성\Fc FcK 논문 참고자료\Editing 완료\PeerJ submission\PeerJ Revision\HPLC figure\HPLC figure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63" w:rsidRPr="009E3994" w:rsidRDefault="00433B63" w:rsidP="00433B63"/>
    <w:p w:rsidR="00433B63" w:rsidRDefault="00433B63">
      <w:pPr>
        <w:spacing w:after="160" w:line="259" w:lineRule="auto"/>
        <w:rPr>
          <w:rFonts w:ascii="Palatino Linotype" w:hAnsi="Palatino Linotype"/>
          <w:b/>
          <w:bCs/>
          <w:sz w:val="18"/>
          <w:szCs w:val="18"/>
          <w:lang w:bidi="en-US"/>
        </w:rPr>
      </w:pPr>
      <w:r>
        <w:rPr>
          <w:rFonts w:ascii="Palatino Linotype" w:hAnsi="Palatino Linotype"/>
          <w:b/>
          <w:bCs/>
          <w:sz w:val="18"/>
          <w:szCs w:val="18"/>
          <w:lang w:bidi="en-US"/>
        </w:rPr>
        <w:br w:type="page"/>
      </w:r>
    </w:p>
    <w:p w:rsidR="00C80A26" w:rsidRPr="00483695" w:rsidRDefault="00C80A26" w:rsidP="00C80A26">
      <w:pPr>
        <w:rPr>
          <w:rFonts w:ascii="Palatino Linotype" w:hAnsi="Palatino Linotype"/>
          <w:b/>
          <w:sz w:val="18"/>
          <w:szCs w:val="18"/>
          <w:lang w:bidi="en-US"/>
        </w:rPr>
      </w:pPr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lastRenderedPageBreak/>
        <w:t>Figure S</w:t>
      </w:r>
      <w:r w:rsidR="00433B63">
        <w:rPr>
          <w:rFonts w:ascii="Palatino Linotype" w:hAnsi="Palatino Linotype"/>
          <w:b/>
          <w:bCs/>
          <w:sz w:val="18"/>
          <w:szCs w:val="18"/>
          <w:lang w:bidi="en-US"/>
        </w:rPr>
        <w:t>2</w:t>
      </w:r>
      <w:r w:rsidRPr="00C24DFE">
        <w:rPr>
          <w:rFonts w:ascii="Palatino Linotype" w:hAnsi="Palatino Linotype"/>
          <w:b/>
          <w:bCs/>
          <w:sz w:val="18"/>
          <w:szCs w:val="18"/>
          <w:lang w:bidi="en-US"/>
        </w:rPr>
        <w:t>:</w:t>
      </w:r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 xml:space="preserve"> Surface </w:t>
      </w:r>
      <w:proofErr w:type="spellStart"/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>plasmon</w:t>
      </w:r>
      <w:proofErr w:type="spellEnd"/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 xml:space="preserve"> resonance (SPR) analysis to confirm the binding affinity of GA733-Fc</w:t>
      </w:r>
      <w:r w:rsidRPr="00483695">
        <w:rPr>
          <w:rFonts w:ascii="Palatino Linotype" w:hAnsi="Palatino Linotype"/>
          <w:b/>
          <w:bCs/>
          <w:sz w:val="18"/>
          <w:szCs w:val="18"/>
          <w:vertAlign w:val="superscript"/>
          <w:lang w:bidi="en-US"/>
        </w:rPr>
        <w:t>P</w:t>
      </w:r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 xml:space="preserve"> (</w:t>
      </w:r>
      <w:r w:rsidRPr="00547853">
        <w:rPr>
          <w:rFonts w:ascii="Palatino Linotype" w:hAnsi="Palatino Linotype"/>
          <w:b/>
          <w:bCs/>
          <w:sz w:val="18"/>
          <w:szCs w:val="18"/>
          <w:lang w:bidi="en-US"/>
        </w:rPr>
        <w:t>a</w:t>
      </w:r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>) and GA733-FcK</w:t>
      </w:r>
      <w:r w:rsidRPr="00483695">
        <w:rPr>
          <w:rFonts w:ascii="Palatino Linotype" w:hAnsi="Palatino Linotype"/>
          <w:b/>
          <w:bCs/>
          <w:sz w:val="18"/>
          <w:szCs w:val="18"/>
          <w:vertAlign w:val="superscript"/>
          <w:lang w:bidi="en-US"/>
        </w:rPr>
        <w:t>P</w:t>
      </w:r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 xml:space="preserve"> (</w:t>
      </w:r>
      <w:r>
        <w:rPr>
          <w:rFonts w:ascii="Palatino Linotype" w:hAnsi="Palatino Linotype"/>
          <w:b/>
          <w:bCs/>
          <w:sz w:val="18"/>
          <w:szCs w:val="18"/>
          <w:lang w:bidi="en-US"/>
        </w:rPr>
        <w:t>b</w:t>
      </w:r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 xml:space="preserve">) to </w:t>
      </w:r>
      <w:proofErr w:type="spellStart"/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>Fcγ</w:t>
      </w:r>
      <w:r w:rsidRPr="00C24DFE">
        <w:rPr>
          <w:rFonts w:ascii="Palatino Linotype" w:hAnsi="Palatino Linotype"/>
          <w:b/>
          <w:bCs/>
          <w:sz w:val="18"/>
          <w:szCs w:val="18"/>
          <w:lang w:bidi="en-US"/>
        </w:rPr>
        <w:t>R</w:t>
      </w:r>
      <w:r w:rsidRPr="00483695">
        <w:rPr>
          <w:rFonts w:eastAsia="MS Gothic"/>
          <w:b/>
          <w:bCs/>
          <w:sz w:val="18"/>
          <w:szCs w:val="18"/>
          <w:lang w:bidi="en-US"/>
        </w:rPr>
        <w:t>Ⅰ</w:t>
      </w:r>
      <w:proofErr w:type="spellEnd"/>
      <w:r w:rsidRPr="00483695">
        <w:rPr>
          <w:rFonts w:ascii="Palatino Linotype" w:hAnsi="Palatino Linotype"/>
          <w:b/>
          <w:bCs/>
          <w:sz w:val="18"/>
          <w:szCs w:val="18"/>
          <w:lang w:bidi="en-US"/>
        </w:rPr>
        <w:t xml:space="preserve"> (CD64)</w:t>
      </w:r>
    </w:p>
    <w:p w:rsidR="00C80A26" w:rsidRDefault="00C80A26" w:rsidP="00C80A26">
      <w:pPr>
        <w:rPr>
          <w:rFonts w:ascii="Palatino Linotype" w:hAnsi="Palatino Linotype"/>
          <w:sz w:val="18"/>
          <w:szCs w:val="18"/>
          <w:lang w:bidi="en-US"/>
        </w:rPr>
      </w:pPr>
      <w:r w:rsidRPr="00483695">
        <w:rPr>
          <w:rFonts w:ascii="Palatino Linotype" w:hAnsi="Palatino Linotype"/>
          <w:sz w:val="18"/>
          <w:szCs w:val="18"/>
          <w:lang w:bidi="en-US"/>
        </w:rPr>
        <w:t xml:space="preserve">Each curve shows concentrations of 1.5625, 3.125, 6.25, 12.5, 25, 50, and 100 </w:t>
      </w:r>
      <w:proofErr w:type="spellStart"/>
      <w:r w:rsidRPr="00483695">
        <w:rPr>
          <w:rFonts w:ascii="Palatino Linotype" w:hAnsi="Palatino Linotype"/>
          <w:sz w:val="18"/>
          <w:szCs w:val="18"/>
          <w:lang w:bidi="en-US"/>
        </w:rPr>
        <w:t>nM</w:t>
      </w:r>
      <w:proofErr w:type="spellEnd"/>
      <w:r w:rsidRPr="00483695">
        <w:rPr>
          <w:rFonts w:ascii="Palatino Linotype" w:hAnsi="Palatino Linotype"/>
          <w:sz w:val="18"/>
          <w:szCs w:val="18"/>
          <w:lang w:bidi="en-US"/>
        </w:rPr>
        <w:t xml:space="preserve"> of GA733-Fc</w:t>
      </w:r>
      <w:r w:rsidRPr="00483695">
        <w:rPr>
          <w:rFonts w:ascii="Palatino Linotype" w:hAnsi="Palatino Linotype"/>
          <w:sz w:val="18"/>
          <w:szCs w:val="18"/>
          <w:vertAlign w:val="superscript"/>
          <w:lang w:bidi="en-US"/>
        </w:rPr>
        <w:t>P</w:t>
      </w:r>
      <w:r w:rsidRPr="00483695">
        <w:rPr>
          <w:rFonts w:ascii="Palatino Linotype" w:hAnsi="Palatino Linotype"/>
          <w:sz w:val="18"/>
          <w:szCs w:val="18"/>
          <w:lang w:bidi="en-US"/>
        </w:rPr>
        <w:t xml:space="preserve"> (</w:t>
      </w:r>
      <w:r w:rsidRPr="00FA169D">
        <w:rPr>
          <w:rFonts w:ascii="Palatino Linotype" w:hAnsi="Palatino Linotype"/>
          <w:b/>
          <w:sz w:val="18"/>
          <w:szCs w:val="18"/>
          <w:lang w:bidi="en-US"/>
        </w:rPr>
        <w:t>A</w:t>
      </w:r>
      <w:r w:rsidRPr="00483695">
        <w:rPr>
          <w:rFonts w:ascii="Palatino Linotype" w:hAnsi="Palatino Linotype"/>
          <w:sz w:val="18"/>
          <w:szCs w:val="18"/>
          <w:lang w:bidi="en-US"/>
        </w:rPr>
        <w:t>), and GA733-FcK</w:t>
      </w:r>
      <w:r w:rsidRPr="00483695">
        <w:rPr>
          <w:rFonts w:ascii="Palatino Linotype" w:hAnsi="Palatino Linotype"/>
          <w:sz w:val="18"/>
          <w:szCs w:val="18"/>
          <w:vertAlign w:val="superscript"/>
          <w:lang w:bidi="en-US"/>
        </w:rPr>
        <w:t>P</w:t>
      </w:r>
      <w:r w:rsidRPr="00483695">
        <w:rPr>
          <w:rFonts w:ascii="Palatino Linotype" w:hAnsi="Palatino Linotype"/>
          <w:sz w:val="18"/>
          <w:szCs w:val="18"/>
          <w:lang w:bidi="en-US"/>
        </w:rPr>
        <w:t xml:space="preserve"> (</w:t>
      </w:r>
      <w:r w:rsidRPr="00FA169D">
        <w:rPr>
          <w:rFonts w:ascii="Palatino Linotype" w:hAnsi="Palatino Linotype"/>
          <w:b/>
          <w:bCs/>
          <w:sz w:val="18"/>
          <w:szCs w:val="18"/>
          <w:lang w:bidi="en-US"/>
        </w:rPr>
        <w:t>B</w:t>
      </w:r>
      <w:r w:rsidRPr="00483695">
        <w:rPr>
          <w:rFonts w:ascii="Palatino Linotype" w:hAnsi="Palatino Linotype"/>
          <w:sz w:val="18"/>
          <w:szCs w:val="18"/>
          <w:lang w:bidi="en-US"/>
        </w:rPr>
        <w:t xml:space="preserve">). His-tag antibody and </w:t>
      </w:r>
      <w:proofErr w:type="spellStart"/>
      <w:r w:rsidRPr="00483695">
        <w:rPr>
          <w:rFonts w:ascii="Palatino Linotype" w:hAnsi="Palatino Linotype"/>
          <w:sz w:val="18"/>
          <w:szCs w:val="18"/>
          <w:lang w:bidi="en-US"/>
        </w:rPr>
        <w:t>Fcγ</w:t>
      </w:r>
      <w:r w:rsidRPr="00C24DFE">
        <w:rPr>
          <w:rFonts w:ascii="Palatino Linotype" w:hAnsi="Palatino Linotype"/>
          <w:sz w:val="18"/>
          <w:szCs w:val="18"/>
          <w:lang w:bidi="en-US"/>
        </w:rPr>
        <w:t>R</w:t>
      </w:r>
      <w:r w:rsidRPr="00483695">
        <w:rPr>
          <w:rFonts w:eastAsia="MS Gothic"/>
          <w:sz w:val="18"/>
          <w:szCs w:val="18"/>
          <w:lang w:bidi="en-US"/>
        </w:rPr>
        <w:t>Ⅰ</w:t>
      </w:r>
      <w:proofErr w:type="spellEnd"/>
      <w:r w:rsidRPr="00483695">
        <w:rPr>
          <w:rFonts w:ascii="Palatino Linotype" w:hAnsi="Palatino Linotype"/>
          <w:sz w:val="18"/>
          <w:szCs w:val="18"/>
          <w:lang w:bidi="en-US"/>
        </w:rPr>
        <w:t xml:space="preserve"> (CD64) were immobilized on the chip, and GA733-Fc and GA733-FcK were used as </w:t>
      </w:r>
      <w:proofErr w:type="spellStart"/>
      <w:r w:rsidRPr="00483695">
        <w:rPr>
          <w:rFonts w:ascii="Palatino Linotype" w:hAnsi="Palatino Linotype"/>
          <w:sz w:val="18"/>
          <w:szCs w:val="18"/>
          <w:lang w:bidi="en-US"/>
        </w:rPr>
        <w:t>analytes</w:t>
      </w:r>
      <w:proofErr w:type="spellEnd"/>
      <w:r w:rsidRPr="00483695">
        <w:rPr>
          <w:rFonts w:ascii="Palatino Linotype" w:hAnsi="Palatino Linotype"/>
          <w:sz w:val="18"/>
          <w:szCs w:val="18"/>
          <w:lang w:bidi="en-US"/>
        </w:rPr>
        <w:t xml:space="preserve">. As the concentration of </w:t>
      </w:r>
      <w:proofErr w:type="spellStart"/>
      <w:r w:rsidRPr="00483695">
        <w:rPr>
          <w:rFonts w:ascii="Palatino Linotype" w:hAnsi="Palatino Linotype"/>
          <w:sz w:val="18"/>
          <w:szCs w:val="18"/>
          <w:lang w:bidi="en-US"/>
        </w:rPr>
        <w:t>analytes</w:t>
      </w:r>
      <w:proofErr w:type="spellEnd"/>
      <w:r w:rsidRPr="00483695">
        <w:rPr>
          <w:rFonts w:ascii="Palatino Linotype" w:hAnsi="Palatino Linotype"/>
          <w:sz w:val="18"/>
          <w:szCs w:val="18"/>
          <w:lang w:bidi="en-US"/>
        </w:rPr>
        <w:t xml:space="preserve"> (GA733-Fc and GA733-FcK) decreased, the graph changed constantly. GA733-Fc</w:t>
      </w:r>
      <w:r w:rsidRPr="00483695">
        <w:rPr>
          <w:rFonts w:ascii="Palatino Linotype" w:hAnsi="Palatino Linotype"/>
          <w:sz w:val="18"/>
          <w:szCs w:val="18"/>
          <w:vertAlign w:val="superscript"/>
          <w:lang w:bidi="en-US"/>
        </w:rPr>
        <w:t>M</w:t>
      </w:r>
      <w:r w:rsidRPr="00483695">
        <w:rPr>
          <w:rFonts w:ascii="Palatino Linotype" w:hAnsi="Palatino Linotype"/>
          <w:sz w:val="18"/>
          <w:szCs w:val="18"/>
          <w:lang w:bidi="en-US"/>
        </w:rPr>
        <w:t xml:space="preserve"> did not bind. The association and dissociation rates of GA733-FcK (</w:t>
      </w:r>
      <w:r>
        <w:rPr>
          <w:rFonts w:ascii="Palatino Linotype" w:hAnsi="Palatino Linotype"/>
          <w:b/>
          <w:bCs/>
          <w:sz w:val="18"/>
          <w:szCs w:val="18"/>
          <w:lang w:bidi="en-US"/>
        </w:rPr>
        <w:t>B</w:t>
      </w:r>
      <w:r w:rsidRPr="00483695">
        <w:rPr>
          <w:rFonts w:ascii="Palatino Linotype" w:hAnsi="Palatino Linotype"/>
          <w:sz w:val="18"/>
          <w:szCs w:val="18"/>
          <w:lang w:bidi="en-US"/>
        </w:rPr>
        <w:t>) were higher than those of GA733-Fc (</w:t>
      </w:r>
      <w:r>
        <w:rPr>
          <w:rFonts w:ascii="Palatino Linotype" w:hAnsi="Palatino Linotype"/>
          <w:b/>
          <w:bCs/>
          <w:sz w:val="18"/>
          <w:szCs w:val="18"/>
          <w:lang w:bidi="en-US"/>
        </w:rPr>
        <w:t>A</w:t>
      </w:r>
      <w:r w:rsidRPr="00483695">
        <w:rPr>
          <w:rFonts w:ascii="Palatino Linotype" w:hAnsi="Palatino Linotype"/>
          <w:sz w:val="18"/>
          <w:szCs w:val="18"/>
          <w:lang w:bidi="en-US"/>
        </w:rPr>
        <w:t xml:space="preserve">). Kinetic analysis of binding affinity of GA733-Fc and GA733-FcK purified from plants to recombinant human </w:t>
      </w:r>
      <w:proofErr w:type="spellStart"/>
      <w:r w:rsidRPr="00483695">
        <w:rPr>
          <w:rFonts w:ascii="Palatino Linotype" w:hAnsi="Palatino Linotype"/>
          <w:sz w:val="18"/>
          <w:szCs w:val="18"/>
          <w:lang w:bidi="en-US"/>
        </w:rPr>
        <w:t>Fcγ</w:t>
      </w:r>
      <w:r w:rsidRPr="00C24DFE">
        <w:rPr>
          <w:rFonts w:ascii="Palatino Linotype" w:hAnsi="Palatino Linotype"/>
          <w:sz w:val="18"/>
          <w:szCs w:val="18"/>
          <w:lang w:bidi="en-US"/>
        </w:rPr>
        <w:t>R</w:t>
      </w:r>
      <w:r w:rsidRPr="00C24DFE">
        <w:rPr>
          <w:rFonts w:eastAsia="MS Gothic"/>
          <w:sz w:val="18"/>
          <w:szCs w:val="18"/>
          <w:lang w:bidi="en-US"/>
        </w:rPr>
        <w:t>Ⅰ</w:t>
      </w:r>
      <w:proofErr w:type="spellEnd"/>
      <w:r w:rsidRPr="00483695">
        <w:rPr>
          <w:rFonts w:ascii="Palatino Linotype" w:hAnsi="Palatino Linotype"/>
          <w:sz w:val="18"/>
          <w:szCs w:val="18"/>
          <w:lang w:bidi="en-US"/>
        </w:rPr>
        <w:t xml:space="preserve">/CD64 was conducted using SPR analysis. The peak of GA733-FcK decreased </w:t>
      </w:r>
      <w:r>
        <w:rPr>
          <w:rFonts w:ascii="Palatino Linotype" w:hAnsi="Palatino Linotype"/>
          <w:sz w:val="18"/>
          <w:szCs w:val="18"/>
          <w:lang w:bidi="en-US"/>
        </w:rPr>
        <w:t>less</w:t>
      </w:r>
      <w:r w:rsidRPr="00483695">
        <w:rPr>
          <w:rFonts w:ascii="Palatino Linotype" w:hAnsi="Palatino Linotype"/>
          <w:sz w:val="18"/>
          <w:szCs w:val="18"/>
          <w:lang w:bidi="en-US"/>
        </w:rPr>
        <w:t xml:space="preserve"> than that of GA733-Fc. These results show that the association rate constant, dissociation rate constant, and equilibrium dissociation rate (ratio of dissociation rate constant and association rate constant from kinetic experiments) of GA733-FcK were higher than those of GA733-Fc.</w:t>
      </w:r>
    </w:p>
    <w:p w:rsidR="00C80A26" w:rsidRPr="00483695" w:rsidRDefault="00C80A26" w:rsidP="00C80A26">
      <w:pPr>
        <w:jc w:val="center"/>
        <w:rPr>
          <w:rFonts w:ascii="Palatino Linotype" w:hAnsi="Palatino Linotype"/>
          <w:sz w:val="18"/>
          <w:szCs w:val="18"/>
          <w:lang w:bidi="en-US"/>
        </w:rPr>
      </w:pPr>
      <w:r w:rsidRPr="00FC016F">
        <w:rPr>
          <w:rFonts w:ascii="Palatino Linotype" w:hAnsi="Palatino Linotype"/>
          <w:noProof/>
          <w:sz w:val="18"/>
          <w:szCs w:val="18"/>
          <w:lang w:eastAsia="ko-KR"/>
        </w:rPr>
        <w:drawing>
          <wp:inline distT="0" distB="0" distL="0" distR="0" wp14:anchorId="6BBF1B5F" wp14:editId="1D89E953">
            <wp:extent cx="4694830" cy="5064074"/>
            <wp:effectExtent l="0" t="0" r="0" b="3810"/>
            <wp:docPr id="2" name="그림 2" descr="I:\Fc, FcK infiltration 논문작성\GA733 IgFG Fc, FcK figure\Figure\Figure 최종\Figures(TIFF)\20.5.12 Figure(TIFF) KB수정본\Suppli figure ver.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Fc, FcK infiltration 논문작성\GA733 IgFG Fc, FcK figure\Figure\Figure 최종\Figures(TIFF)\20.5.12 Figure(TIFF) KB수정본\Suppli figure ver.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25" cy="506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5B" w:rsidRPr="009E3994" w:rsidRDefault="00940C5B" w:rsidP="00433B63">
      <w:pPr>
        <w:spacing w:after="160" w:line="259" w:lineRule="auto"/>
      </w:pPr>
      <w:bookmarkStart w:id="0" w:name="_GoBack"/>
      <w:bookmarkEnd w:id="0"/>
    </w:p>
    <w:sectPr w:rsidR="00940C5B" w:rsidRPr="009E39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26"/>
    <w:rsid w:val="00433B63"/>
    <w:rsid w:val="00940C5B"/>
    <w:rsid w:val="009E3994"/>
    <w:rsid w:val="00BF4176"/>
    <w:rsid w:val="00C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596E"/>
  <w15:chartTrackingRefBased/>
  <w15:docId w15:val="{07E96F73-6BB0-47F4-B8B2-C3A40337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63"/>
    <w:pPr>
      <w:spacing w:after="0" w:line="340" w:lineRule="atLeast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이예지</cp:lastModifiedBy>
  <cp:revision>3</cp:revision>
  <dcterms:created xsi:type="dcterms:W3CDTF">2020-12-11T23:54:00Z</dcterms:created>
  <dcterms:modified xsi:type="dcterms:W3CDTF">2020-12-16T06:22:00Z</dcterms:modified>
</cp:coreProperties>
</file>