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F3" w:rsidRPr="006465B0" w:rsidRDefault="006465B0" w:rsidP="007111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5B0">
        <w:rPr>
          <w:rFonts w:ascii="Times New Roman" w:hAnsi="Times New Roman" w:cs="Times New Roman"/>
          <w:b/>
          <w:sz w:val="24"/>
          <w:szCs w:val="24"/>
        </w:rPr>
        <w:t>Supplementary material</w:t>
      </w:r>
      <w:r w:rsidR="00F86D88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6465B0" w:rsidRPr="006465B0" w:rsidRDefault="006465B0" w:rsidP="007111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465B0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5435074"/>
            <wp:effectExtent l="0" t="0" r="0" b="0"/>
            <wp:docPr id="2" name="Obraz 2" descr="C:\Users\pskorka\Documents\Archiwum_May_2020\Dokumenty\ZASIEGI_GATUNKOW\2020\Finalna_baza\submisson_files\PeerJ\Rewizja\Ksepka_tree\Analyses\tree_all_spe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korka\Documents\Archiwum_May_2020\Dokumenty\ZASIEGI_GATUNKOW\2020\Finalna_baza\submisson_files\PeerJ\Rewizja\Ksepka_tree\Analyses\tree_all_speci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3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65B0" w:rsidRDefault="006465B0" w:rsidP="0071118E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eastAsia="pl-PL"/>
        </w:rPr>
      </w:pPr>
      <w:r w:rsidRPr="006465B0">
        <w:rPr>
          <w:rFonts w:ascii="Times New Roman" w:hAnsi="Times New Roman" w:cs="Times New Roman"/>
          <w:sz w:val="24"/>
          <w:szCs w:val="24"/>
        </w:rPr>
        <w:t xml:space="preserve">Figure S1. </w:t>
      </w:r>
      <w:r w:rsidRPr="006465B0">
        <w:rPr>
          <w:rFonts w:ascii="Times New Roman" w:hAnsi="Times New Roman" w:cs="Times New Roman"/>
          <w:sz w:val="24"/>
          <w:szCs w:val="24"/>
          <w:lang w:eastAsia="pl-PL"/>
        </w:rPr>
        <w:t>A c</w:t>
      </w:r>
      <w:r w:rsidRPr="006465B0">
        <w:rPr>
          <w:rFonts w:ascii="Times New Roman" w:hAnsi="Times New Roman" w:cs="Times New Roman"/>
          <w:noProof/>
          <w:sz w:val="24"/>
          <w:szCs w:val="24"/>
          <w:lang w:val="en-GB" w:eastAsia="pl-PL"/>
        </w:rPr>
        <w:t>onsensus phylogenetic tree</w:t>
      </w:r>
      <w:r>
        <w:rPr>
          <w:rFonts w:ascii="Times New Roman" w:hAnsi="Times New Roman" w:cs="Times New Roman"/>
          <w:noProof/>
          <w:sz w:val="24"/>
          <w:szCs w:val="24"/>
          <w:lang w:val="en-GB" w:eastAsia="pl-PL"/>
        </w:rPr>
        <w:t xml:space="preserve"> with all examined species.</w:t>
      </w:r>
    </w:p>
    <w:p w:rsidR="006465B0" w:rsidRDefault="009B3B12" w:rsidP="0071118E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GB" w:eastAsia="pl-PL"/>
        </w:rPr>
      </w:pPr>
      <w:r w:rsidRPr="009B3B12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257759" cy="7067550"/>
            <wp:effectExtent l="0" t="0" r="635" b="0"/>
            <wp:docPr id="4" name="Obraz 4" descr="C:\Users\pskorka\Documents\Archiwum_May_2020\Dokumenty\ZASIEGI_GATUNKOW\2020\Finalna_baza\submisson_files\PeerJ\Rewizja\Revised_figures\Figure_5_Ksepka_revis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korka\Documents\Archiwum_May_2020\Dokumenty\ZASIEGI_GATUNKOW\2020\Finalna_baza\submisson_files\PeerJ\Rewizja\Revised_figures\Figure_5_Ksepka_revis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063" cy="706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5B0" w:rsidRDefault="006465B0" w:rsidP="007111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S2. </w:t>
      </w:r>
      <w:r w:rsidRPr="00BB5A97">
        <w:rPr>
          <w:rFonts w:ascii="Times New Roman" w:hAnsi="Times New Roman" w:cs="Times New Roman"/>
          <w:sz w:val="24"/>
          <w:szCs w:val="24"/>
        </w:rPr>
        <w:t>Test supporting causal model with standardized path coefficients (A). Standardized coefficients with 95% confidence intervals (CIs) for explanatory variables associated with geographic range size of birds</w:t>
      </w:r>
      <w:r>
        <w:rPr>
          <w:rFonts w:ascii="Times New Roman" w:hAnsi="Times New Roman" w:cs="Times New Roman"/>
          <w:sz w:val="24"/>
          <w:szCs w:val="24"/>
        </w:rPr>
        <w:t xml:space="preserve"> (B)</w:t>
      </w:r>
      <w:r w:rsidRPr="00BB5A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Analysis based the phylogenetic tree from Ksepka et al. (2020).</w:t>
      </w:r>
    </w:p>
    <w:p w:rsidR="009B3B12" w:rsidRDefault="009B3B12" w:rsidP="007111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3B12" w:rsidRDefault="009B3B12" w:rsidP="007111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3B12" w:rsidRDefault="009B3B12" w:rsidP="007111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3B12" w:rsidRDefault="009B3B12" w:rsidP="007111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3B12" w:rsidRPr="00F949C6" w:rsidRDefault="009B3B12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Table S1</w:t>
      </w:r>
      <w:r w:rsidRPr="00F949C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732D9B" w:rsidRPr="00732D9B">
        <w:rPr>
          <w:rFonts w:ascii="Times New Roman" w:hAnsi="Times New Roman" w:cs="Times New Roman"/>
          <w:sz w:val="24"/>
          <w:szCs w:val="24"/>
          <w:lang w:val="en-GB"/>
        </w:rPr>
        <w:t>Phylogenetic generalized least squares models testing association among geographic species ranges in birds and genome size, c</w:t>
      </w:r>
      <w:r w:rsidR="00732D9B">
        <w:rPr>
          <w:rFonts w:ascii="Times New Roman" w:hAnsi="Times New Roman" w:cs="Times New Roman"/>
          <w:sz w:val="24"/>
          <w:szCs w:val="24"/>
          <w:lang w:val="en-GB"/>
        </w:rPr>
        <w:t>hromosome number, body mass, brain mass and geographic latitude.</w:t>
      </w:r>
      <w:r w:rsidR="00213254">
        <w:rPr>
          <w:rFonts w:ascii="Times New Roman" w:hAnsi="Times New Roman" w:cs="Times New Roman"/>
          <w:sz w:val="24"/>
          <w:szCs w:val="24"/>
          <w:lang w:val="en-GB"/>
        </w:rPr>
        <w:t xml:space="preserve"> Analysis based on the phylogenetic tree from Ksepka et al. (2020).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1"/>
        <w:gridCol w:w="2298"/>
        <w:gridCol w:w="2298"/>
        <w:gridCol w:w="1272"/>
        <w:gridCol w:w="1273"/>
      </w:tblGrid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</w:tcPr>
          <w:p w:rsidR="00732D9B" w:rsidRPr="00862FC5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Model 1st (N 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262 </w:t>
            </w:r>
            <w:r w:rsidRPr="008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species)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Effect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estimate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SE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(Intercept)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-1769163.6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18649898.4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-0.095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0.924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Genome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size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18738048.3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5077635.0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3.690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b/>
                <w:color w:val="000000"/>
              </w:rPr>
              <w:t>&lt;0.001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Body mass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-1705866.2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781220.6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-2.183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b/>
                <w:color w:val="000000"/>
              </w:rPr>
              <w:t>0.030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Geographic latitude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118802.3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57736.4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2.058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b/>
                <w:color w:val="000000"/>
              </w:rPr>
              <w:t>0.041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862FC5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Model 2nd (N =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254</w:t>
            </w:r>
            <w:r w:rsidRPr="008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)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Effect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C30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estimate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C30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SE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(Intercept)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-6601929.2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22323525.6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-0.296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0.768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Genome size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16141037.3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6868117.9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2.350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b/>
                <w:color w:val="000000"/>
              </w:rPr>
              <w:t>0.019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Body mass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-40195.7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926822.7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-0.043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0.965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Brain mass (residual)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9036609.6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4282034.0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2.110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b/>
                <w:color w:val="000000"/>
              </w:rPr>
              <w:t>0.036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Geographic latitude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179524.7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64235.0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2.794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b/>
                <w:color w:val="000000"/>
              </w:rPr>
              <w:t>0.006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862FC5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Model 3rd (N =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55</w:t>
            </w:r>
            <w:r w:rsidRPr="00862F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32D9B" w:rsidRPr="003C30C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Effect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C30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estimate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3C30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SE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(Intercept)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27138470.8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23192263.6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1.170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0.248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Genome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size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17644288.8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12517961.5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1.609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0.126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Chromosome number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-397683.4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187801.8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-2.118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b/>
                <w:color w:val="000000"/>
              </w:rPr>
              <w:t>0.039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Body mass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-1505298.1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1469867.9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-1.024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0.311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Brain mass (residual)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-1894156.4</w:t>
            </w:r>
          </w:p>
        </w:tc>
        <w:tc>
          <w:tcPr>
            <w:tcW w:w="2298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6003833.9</w:t>
            </w:r>
          </w:p>
        </w:tc>
        <w:tc>
          <w:tcPr>
            <w:tcW w:w="1272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-0.3154</w:t>
            </w:r>
          </w:p>
        </w:tc>
        <w:tc>
          <w:tcPr>
            <w:tcW w:w="1273" w:type="dxa"/>
            <w:shd w:val="clear" w:color="auto" w:fill="auto"/>
            <w:noWrap/>
            <w:vAlign w:val="bottom"/>
            <w:hideMark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0.753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Geographic latitude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295362.8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111703.5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732D9B" w:rsidRPr="003C30C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2.644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F161BE">
              <w:rPr>
                <w:rFonts w:ascii="Times New Roman" w:hAnsi="Times New Roman" w:cs="Times New Roman"/>
                <w:b/>
                <w:color w:val="000000"/>
              </w:rPr>
              <w:t>0.011</w:t>
            </w:r>
          </w:p>
        </w:tc>
      </w:tr>
      <w:tr w:rsidR="00732D9B" w:rsidRPr="00F161BE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C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Model 4rd (N = 55)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</w:tcPr>
          <w:p w:rsidR="00732D9B" w:rsidRPr="00862FC5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Effect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0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estimate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0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SE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0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T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C30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P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</w:tcPr>
          <w:p w:rsidR="00732D9B" w:rsidRPr="00862FC5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(Intercept)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2769718.2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20964743.6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0.132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0.895</w:t>
            </w:r>
          </w:p>
        </w:tc>
      </w:tr>
      <w:tr w:rsidR="00732D9B" w:rsidRPr="00F949C6" w:rsidTr="00EF0990">
        <w:trPr>
          <w:trHeight w:val="288"/>
        </w:trPr>
        <w:tc>
          <w:tcPr>
            <w:tcW w:w="1921" w:type="dxa"/>
            <w:shd w:val="clear" w:color="auto" w:fill="auto"/>
            <w:noWrap/>
            <w:vAlign w:val="bottom"/>
          </w:tcPr>
          <w:p w:rsidR="00732D9B" w:rsidRPr="00862FC5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Genome size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12205449.0</w:t>
            </w:r>
          </w:p>
        </w:tc>
        <w:tc>
          <w:tcPr>
            <w:tcW w:w="2298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12679723.8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0.963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:rsidR="00732D9B" w:rsidRPr="00F161BE" w:rsidRDefault="00732D9B" w:rsidP="0071118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F161BE">
              <w:rPr>
                <w:rFonts w:ascii="Times New Roman" w:hAnsi="Times New Roman" w:cs="Times New Roman"/>
                <w:color w:val="000000"/>
              </w:rPr>
              <w:t>0.340</w:t>
            </w:r>
          </w:p>
        </w:tc>
      </w:tr>
    </w:tbl>
    <w:p w:rsidR="009B3B12" w:rsidRDefault="009B3B12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5773E" w:rsidRDefault="0025773E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25773E" w:rsidRPr="00F949C6" w:rsidRDefault="0025773E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B3B12" w:rsidRPr="00F949C6" w:rsidRDefault="009B3B12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9B3B12" w:rsidRDefault="009B3B12" w:rsidP="0071118E">
      <w:pPr>
        <w:spacing w:line="360" w:lineRule="auto"/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Pr="0071118E" w:rsidRDefault="00732D9B" w:rsidP="0071118E">
      <w:pPr>
        <w:autoSpaceDE w:val="0"/>
        <w:autoSpaceDN w:val="0"/>
        <w:adjustRightInd w:val="0"/>
        <w:spacing w:after="0" w:line="360" w:lineRule="auto"/>
        <w:rPr>
          <w:rFonts w:ascii="Times New Roman" w:eastAsia="DejaVuSansCondensed" w:hAnsi="Times New Roman" w:cs="Times New Roman"/>
          <w:sz w:val="24"/>
          <w:szCs w:val="24"/>
          <w:lang w:val="en-US"/>
        </w:rPr>
      </w:pPr>
      <w:r w:rsidRPr="0071118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S2.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The results of phylogenetic path analysis based on the phylogenetc tree from Ksepka et al. (2020). Different sets of models are compared (see Figure 3) Explanations: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k -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independence claims made by the model,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q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- the number of parameters,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>C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- the C statistic,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P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- p-value for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>C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,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CICc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- the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>C-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>statistic information criterion corrected for small sample sizes, Δ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CICc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- the difference in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CICc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with the top model,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l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- the associated relative likelihoods,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w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-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CICc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 xml:space="preserve">weights (w). A significant </w:t>
      </w:r>
      <w:r w:rsidR="0071118E" w:rsidRPr="0071118E">
        <w:rPr>
          <w:rFonts w:ascii="Times New Roman" w:eastAsia="DejaVuSansCondensed" w:hAnsi="Times New Roman" w:cs="Times New Roman"/>
          <w:i/>
          <w:iCs/>
          <w:sz w:val="24"/>
          <w:szCs w:val="24"/>
          <w:lang w:val="en-US"/>
        </w:rPr>
        <w:t xml:space="preserve">p </w:t>
      </w:r>
      <w:r w:rsidR="0071118E" w:rsidRPr="0071118E">
        <w:rPr>
          <w:rFonts w:ascii="Times New Roman" w:eastAsia="DejaVuSansCondensed" w:hAnsi="Times New Roman" w:cs="Times New Roman"/>
          <w:sz w:val="24"/>
          <w:szCs w:val="24"/>
          <w:lang w:val="en-US"/>
        </w:rPr>
        <w:t>indicates that the available evidence rejects the model.</w:t>
      </w:r>
    </w:p>
    <w:p w:rsidR="0071118E" w:rsidRPr="0071118E" w:rsidRDefault="0071118E" w:rsidP="007111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504"/>
        <w:gridCol w:w="504"/>
        <w:gridCol w:w="1323"/>
        <w:gridCol w:w="959"/>
        <w:gridCol w:w="1323"/>
        <w:gridCol w:w="1141"/>
        <w:gridCol w:w="959"/>
        <w:gridCol w:w="959"/>
      </w:tblGrid>
      <w:tr w:rsidR="00732D9B" w:rsidRPr="00F949C6" w:rsidTr="00EF0990">
        <w:trPr>
          <w:trHeight w:val="288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bookmarkStart w:id="1" w:name="RANGE!A1:I5"/>
            <w:r w:rsidRPr="00F949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  <w:t>Model</w:t>
            </w:r>
            <w:bookmarkEnd w:id="1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k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q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p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CICc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ΔCICc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l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F949C6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</w:pPr>
            <w:r w:rsidRPr="00F949C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 w:eastAsia="pl-PL"/>
              </w:rPr>
              <w:t>w</w:t>
            </w:r>
          </w:p>
        </w:tc>
      </w:tr>
      <w:tr w:rsidR="00732D9B" w:rsidRPr="00F949C6" w:rsidTr="00EF0990">
        <w:trPr>
          <w:trHeight w:val="288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indirect </w:t>
            </w: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complex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5.658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56.659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0.897</w:t>
            </w:r>
          </w:p>
        </w:tc>
      </w:tr>
      <w:tr w:rsidR="00732D9B" w:rsidRPr="00F949C6" w:rsidTr="00EF0990">
        <w:trPr>
          <w:trHeight w:val="288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indirect </w:t>
            </w: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simple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18.348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0.105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60.979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4.320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0.115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0.103</w:t>
            </w:r>
          </w:p>
        </w:tc>
      </w:tr>
      <w:tr w:rsidR="00732D9B" w:rsidRPr="00F949C6" w:rsidTr="00EF0990">
        <w:trPr>
          <w:trHeight w:val="288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null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115.583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129.370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72.712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  <w:tr w:rsidR="00732D9B" w:rsidRPr="00F949C6" w:rsidTr="00EF0990">
        <w:trPr>
          <w:trHeight w:val="288"/>
        </w:trPr>
        <w:tc>
          <w:tcPr>
            <w:tcW w:w="1390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direct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F5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105.137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1323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133.423</w:t>
            </w:r>
          </w:p>
        </w:tc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76.764</w:t>
            </w:r>
          </w:p>
        </w:tc>
        <w:tc>
          <w:tcPr>
            <w:tcW w:w="959" w:type="dxa"/>
            <w:shd w:val="clear" w:color="auto" w:fill="auto"/>
            <w:noWrap/>
            <w:vAlign w:val="bottom"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959" w:type="dxa"/>
            <w:shd w:val="clear" w:color="auto" w:fill="auto"/>
            <w:noWrap/>
            <w:vAlign w:val="bottom"/>
            <w:hideMark/>
          </w:tcPr>
          <w:p w:rsidR="00732D9B" w:rsidRPr="00D1300A" w:rsidRDefault="00732D9B" w:rsidP="007111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</w:tr>
    </w:tbl>
    <w:p w:rsidR="00732D9B" w:rsidRPr="00F949C6" w:rsidRDefault="00732D9B" w:rsidP="0071118E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732D9B" w:rsidRDefault="00732D9B" w:rsidP="0071118E">
      <w:pPr>
        <w:spacing w:line="360" w:lineRule="auto"/>
      </w:pPr>
    </w:p>
    <w:p w:rsidR="0071118E" w:rsidRDefault="0071118E" w:rsidP="007111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1118E" w:rsidRPr="0071118E" w:rsidRDefault="0071118E" w:rsidP="0071118E">
      <w:pPr>
        <w:rPr>
          <w:rFonts w:ascii="Times New Roman" w:hAnsi="Times New Roman" w:cs="Times New Roman"/>
          <w:sz w:val="24"/>
          <w:szCs w:val="24"/>
        </w:rPr>
      </w:pPr>
    </w:p>
    <w:p w:rsidR="0071118E" w:rsidRPr="0071118E" w:rsidRDefault="0071118E" w:rsidP="0071118E">
      <w:pPr>
        <w:rPr>
          <w:rFonts w:ascii="Times New Roman" w:hAnsi="Times New Roman" w:cs="Times New Roman"/>
          <w:sz w:val="24"/>
          <w:szCs w:val="24"/>
        </w:rPr>
      </w:pPr>
    </w:p>
    <w:p w:rsidR="0071118E" w:rsidRPr="0071118E" w:rsidRDefault="0071118E" w:rsidP="0071118E">
      <w:pPr>
        <w:rPr>
          <w:rFonts w:ascii="Times New Roman" w:hAnsi="Times New Roman" w:cs="Times New Roman"/>
          <w:sz w:val="24"/>
          <w:szCs w:val="24"/>
        </w:rPr>
      </w:pPr>
    </w:p>
    <w:p w:rsidR="0071118E" w:rsidRPr="0071118E" w:rsidRDefault="0071118E" w:rsidP="0071118E">
      <w:pPr>
        <w:rPr>
          <w:rFonts w:ascii="Times New Roman" w:hAnsi="Times New Roman" w:cs="Times New Roman"/>
          <w:sz w:val="24"/>
          <w:szCs w:val="24"/>
        </w:rPr>
      </w:pPr>
    </w:p>
    <w:p w:rsidR="0071118E" w:rsidRPr="0071118E" w:rsidRDefault="0071118E" w:rsidP="0071118E">
      <w:pPr>
        <w:rPr>
          <w:rFonts w:ascii="Times New Roman" w:hAnsi="Times New Roman" w:cs="Times New Roman"/>
          <w:sz w:val="24"/>
          <w:szCs w:val="24"/>
        </w:rPr>
      </w:pPr>
    </w:p>
    <w:p w:rsidR="0071118E" w:rsidRPr="0071118E" w:rsidRDefault="0071118E" w:rsidP="0071118E">
      <w:pPr>
        <w:rPr>
          <w:rFonts w:ascii="Times New Roman" w:hAnsi="Times New Roman" w:cs="Times New Roman"/>
          <w:sz w:val="24"/>
          <w:szCs w:val="24"/>
        </w:rPr>
      </w:pPr>
    </w:p>
    <w:p w:rsidR="0071118E" w:rsidRDefault="0071118E" w:rsidP="0071118E">
      <w:pPr>
        <w:rPr>
          <w:rFonts w:ascii="Times New Roman" w:hAnsi="Times New Roman" w:cs="Times New Roman"/>
          <w:sz w:val="24"/>
          <w:szCs w:val="24"/>
        </w:rPr>
      </w:pPr>
    </w:p>
    <w:p w:rsidR="009B3B12" w:rsidRPr="0071118E" w:rsidRDefault="0071118E" w:rsidP="0071118E">
      <w:pPr>
        <w:tabs>
          <w:tab w:val="left" w:pos="19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B3B12" w:rsidRPr="007111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3D" w:rsidRDefault="00A6633D" w:rsidP="006465B0">
      <w:pPr>
        <w:spacing w:after="0" w:line="240" w:lineRule="auto"/>
      </w:pPr>
      <w:r>
        <w:separator/>
      </w:r>
    </w:p>
  </w:endnote>
  <w:endnote w:type="continuationSeparator" w:id="0">
    <w:p w:rsidR="00A6633D" w:rsidRDefault="00A6633D" w:rsidP="00646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Condense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774952"/>
      <w:docPartObj>
        <w:docPartGallery w:val="Page Numbers (Bottom of Page)"/>
        <w:docPartUnique/>
      </w:docPartObj>
    </w:sdtPr>
    <w:sdtEndPr/>
    <w:sdtContent>
      <w:p w:rsidR="0071118E" w:rsidRDefault="007111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D88">
          <w:rPr>
            <w:noProof/>
          </w:rPr>
          <w:t>1</w:t>
        </w:r>
        <w:r>
          <w:fldChar w:fldCharType="end"/>
        </w:r>
      </w:p>
    </w:sdtContent>
  </w:sdt>
  <w:p w:rsidR="0071118E" w:rsidRDefault="007111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3D" w:rsidRDefault="00A6633D" w:rsidP="006465B0">
      <w:pPr>
        <w:spacing w:after="0" w:line="240" w:lineRule="auto"/>
      </w:pPr>
      <w:r>
        <w:separator/>
      </w:r>
    </w:p>
  </w:footnote>
  <w:footnote w:type="continuationSeparator" w:id="0">
    <w:p w:rsidR="00A6633D" w:rsidRDefault="00A6633D" w:rsidP="00646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5B0" w:rsidRDefault="006465B0" w:rsidP="006465B0">
    <w:pPr>
      <w:pStyle w:val="Nagwek"/>
      <w:jc w:val="right"/>
    </w:pPr>
    <w:r>
      <w:t>Grzywacz B. &amp; Skórka 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QwMbAwMrU0M7WwMDVW0lEKTi0uzszPAykwqgUAvHCCHSwAAAA="/>
  </w:docVars>
  <w:rsids>
    <w:rsidRoot w:val="00615C05"/>
    <w:rsid w:val="00077AD7"/>
    <w:rsid w:val="00213254"/>
    <w:rsid w:val="0022431B"/>
    <w:rsid w:val="0025773E"/>
    <w:rsid w:val="00615C05"/>
    <w:rsid w:val="006465B0"/>
    <w:rsid w:val="0071118E"/>
    <w:rsid w:val="00732D9B"/>
    <w:rsid w:val="007C6A55"/>
    <w:rsid w:val="00862A7D"/>
    <w:rsid w:val="009B3B12"/>
    <w:rsid w:val="00A6633D"/>
    <w:rsid w:val="00E83FA7"/>
    <w:rsid w:val="00EC5CA8"/>
    <w:rsid w:val="00F8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AB5FD9-EDA1-4E5B-A0EB-A7433040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B0"/>
  </w:style>
  <w:style w:type="paragraph" w:styleId="Stopka">
    <w:name w:val="footer"/>
    <w:basedOn w:val="Normalny"/>
    <w:link w:val="StopkaZnak"/>
    <w:uiPriority w:val="99"/>
    <w:unhideWhenUsed/>
    <w:rsid w:val="006465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</cp:revision>
  <dcterms:created xsi:type="dcterms:W3CDTF">2020-11-14T15:20:00Z</dcterms:created>
  <dcterms:modified xsi:type="dcterms:W3CDTF">2020-11-15T12:43:00Z</dcterms:modified>
</cp:coreProperties>
</file>