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2B2" w:rsidRPr="00C80BDA" w:rsidRDefault="005D100C" w:rsidP="005A22B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Supplementary Table 2</w:t>
      </w:r>
      <w:r w:rsidR="005A22B2" w:rsidRPr="00C80BDA">
        <w:rPr>
          <w:sz w:val="20"/>
          <w:szCs w:val="20"/>
        </w:rPr>
        <w:t xml:space="preserve">. One-Way ANOVA and Games-Howell test in males and females of </w:t>
      </w:r>
      <w:r w:rsidR="005A22B2" w:rsidRPr="00C80BDA">
        <w:rPr>
          <w:i/>
          <w:sz w:val="20"/>
          <w:szCs w:val="20"/>
        </w:rPr>
        <w:t>Scylla</w:t>
      </w:r>
      <w:r w:rsidR="005A22B2" w:rsidRPr="00C80BDA">
        <w:rPr>
          <w:sz w:val="20"/>
          <w:szCs w:val="20"/>
        </w:rPr>
        <w:t>.</w:t>
      </w:r>
      <w:r w:rsidR="00D91702">
        <w:rPr>
          <w:sz w:val="20"/>
          <w:szCs w:val="20"/>
        </w:rPr>
        <w:t xml:space="preserve"> Measured morphometric characteristics include carapace width (CW), </w:t>
      </w:r>
      <w:r w:rsidR="00640D74" w:rsidRPr="00C80BDA">
        <w:rPr>
          <w:sz w:val="20"/>
          <w:szCs w:val="20"/>
        </w:rPr>
        <w:t xml:space="preserve">CW at spine 8 (8CW), internal carapace width (ICW), carapace length (CL), abdomen width (AW), </w:t>
      </w:r>
      <w:r w:rsidR="00640D74">
        <w:rPr>
          <w:sz w:val="20"/>
          <w:szCs w:val="20"/>
        </w:rPr>
        <w:t xml:space="preserve">right cheliped’s </w:t>
      </w:r>
      <w:r w:rsidR="00640D74" w:rsidRPr="00C80BDA">
        <w:rPr>
          <w:sz w:val="20"/>
          <w:szCs w:val="20"/>
        </w:rPr>
        <w:t xml:space="preserve">dactyl length (DL), </w:t>
      </w:r>
      <w:r w:rsidR="00640D74">
        <w:rPr>
          <w:sz w:val="20"/>
          <w:szCs w:val="20"/>
        </w:rPr>
        <w:t xml:space="preserve">right cheliped’s </w:t>
      </w:r>
      <w:r w:rsidR="00640D74" w:rsidRPr="00C80BDA">
        <w:rPr>
          <w:sz w:val="20"/>
          <w:szCs w:val="20"/>
        </w:rPr>
        <w:t xml:space="preserve">propodus depth (PD), </w:t>
      </w:r>
      <w:r w:rsidR="00640D74">
        <w:rPr>
          <w:sz w:val="20"/>
          <w:szCs w:val="20"/>
        </w:rPr>
        <w:t xml:space="preserve">right cheliped’s </w:t>
      </w:r>
      <w:r w:rsidR="00640D74" w:rsidRPr="00C80BDA">
        <w:rPr>
          <w:sz w:val="20"/>
          <w:szCs w:val="20"/>
        </w:rPr>
        <w:t>propodus width (PW),</w:t>
      </w:r>
      <w:r w:rsidR="00640D74">
        <w:rPr>
          <w:sz w:val="20"/>
          <w:szCs w:val="20"/>
        </w:rPr>
        <w:t xml:space="preserve"> right cheliped’s</w:t>
      </w:r>
      <w:r w:rsidR="00640D74" w:rsidRPr="00C80BDA">
        <w:rPr>
          <w:sz w:val="20"/>
          <w:szCs w:val="20"/>
        </w:rPr>
        <w:t xml:space="preserve"> propodus length (PL) and </w:t>
      </w:r>
      <w:r w:rsidR="00640D74">
        <w:rPr>
          <w:sz w:val="20"/>
          <w:szCs w:val="20"/>
        </w:rPr>
        <w:t xml:space="preserve">right cheliped’s </w:t>
      </w:r>
      <w:r w:rsidR="00640D74" w:rsidRPr="00C80BDA">
        <w:rPr>
          <w:sz w:val="20"/>
          <w:szCs w:val="20"/>
        </w:rPr>
        <w:t>merus length (ML)</w:t>
      </w:r>
      <w:r w:rsidR="00D91702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3323"/>
        <w:gridCol w:w="2857"/>
      </w:tblGrid>
      <w:tr w:rsidR="005A22B2" w:rsidRPr="00C80BDA" w:rsidTr="007A2164">
        <w:tc>
          <w:tcPr>
            <w:tcW w:w="1696" w:type="dxa"/>
            <w:tcBorders>
              <w:bottom w:val="single" w:sz="4" w:space="0" w:color="auto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Morphometric ratio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Sex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One-Way ANOVA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 xml:space="preserve">Games-Howell (‘&gt;’ indicates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0.05, ‘=’ indicates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≥ 0.05)</w:t>
            </w:r>
          </w:p>
        </w:tc>
      </w:tr>
      <w:tr w:rsidR="005A22B2" w:rsidRPr="00C80BDA" w:rsidTr="007A2164">
        <w:tc>
          <w:tcPr>
            <w:tcW w:w="1696" w:type="dxa"/>
            <w:vMerge w:val="restart"/>
            <w:tcBorders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ICW/CW</w:t>
            </w:r>
          </w:p>
        </w:tc>
        <w:tc>
          <w:tcPr>
            <w:tcW w:w="1134" w:type="dxa"/>
            <w:tcBorders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2,1783.46</w:t>
            </w:r>
            <w:r w:rsidRPr="00C80BDA">
              <w:rPr>
                <w:sz w:val="20"/>
                <w:szCs w:val="20"/>
              </w:rPr>
              <w:t xml:space="preserve"> = 34.813,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 xml:space="preserve">ST &gt; SO &gt; SP </w:t>
            </w:r>
          </w:p>
        </w:tc>
      </w:tr>
      <w:tr w:rsidR="005A22B2" w:rsidRPr="00C80BDA" w:rsidTr="007A2164">
        <w:tc>
          <w:tcPr>
            <w:tcW w:w="1696" w:type="dxa"/>
            <w:vMerge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2,1625.18</w:t>
            </w:r>
            <w:r w:rsidRPr="00C80BDA">
              <w:rPr>
                <w:sz w:val="20"/>
                <w:szCs w:val="20"/>
              </w:rPr>
              <w:t xml:space="preserve"> = 62.210,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8CW/CW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2,1654.86</w:t>
            </w:r>
            <w:r w:rsidRPr="00C80BDA">
              <w:rPr>
                <w:sz w:val="20"/>
                <w:szCs w:val="20"/>
              </w:rPr>
              <w:t xml:space="preserve"> = 2342.448,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2,1732.75</w:t>
            </w:r>
            <w:r w:rsidRPr="00C80BDA">
              <w:rPr>
                <w:sz w:val="20"/>
                <w:szCs w:val="20"/>
              </w:rPr>
              <w:t xml:space="preserve"> = 2377.821,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SP &gt; ST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CL/CW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 xml:space="preserve">2,1783.63 </w:t>
            </w:r>
            <w:r w:rsidRPr="00C80BDA">
              <w:rPr>
                <w:sz w:val="20"/>
                <w:szCs w:val="20"/>
              </w:rPr>
              <w:t xml:space="preserve">= 585.439,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2,1748.54</w:t>
            </w:r>
            <w:r w:rsidRPr="00C80BDA">
              <w:rPr>
                <w:sz w:val="20"/>
                <w:szCs w:val="20"/>
              </w:rPr>
              <w:t xml:space="preserve"> = 137.902,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AW/CW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2,1759.05</w:t>
            </w:r>
            <w:r w:rsidRPr="00C80BDA">
              <w:rPr>
                <w:sz w:val="20"/>
                <w:szCs w:val="20"/>
              </w:rPr>
              <w:t xml:space="preserve"> = 358.257,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SP &gt; ST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2,1748.02</w:t>
            </w:r>
            <w:r w:rsidRPr="00C80BDA">
              <w:rPr>
                <w:sz w:val="20"/>
                <w:szCs w:val="20"/>
              </w:rPr>
              <w:t xml:space="preserve"> = 137.761,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DL/CW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2,1779.06</w:t>
            </w:r>
            <w:r w:rsidRPr="00C80BDA">
              <w:rPr>
                <w:sz w:val="20"/>
                <w:szCs w:val="20"/>
              </w:rPr>
              <w:t xml:space="preserve"> = 1479.049,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SP = ST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2,1735.79</w:t>
            </w:r>
            <w:r w:rsidRPr="00C80BDA">
              <w:rPr>
                <w:sz w:val="20"/>
                <w:szCs w:val="20"/>
              </w:rPr>
              <w:t xml:space="preserve"> = 75.619,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PD/CW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2,1794.00</w:t>
            </w:r>
            <w:r w:rsidRPr="00C80BDA">
              <w:rPr>
                <w:sz w:val="20"/>
                <w:szCs w:val="20"/>
              </w:rPr>
              <w:t xml:space="preserve"> = 1927.478,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SP &gt; SO &gt; ST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2,1750.14</w:t>
            </w:r>
            <w:r w:rsidRPr="00C80BDA">
              <w:rPr>
                <w:sz w:val="20"/>
                <w:szCs w:val="20"/>
              </w:rPr>
              <w:t xml:space="preserve"> = 10.276,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=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PL/CW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2,1782.75</w:t>
            </w:r>
            <w:r w:rsidRPr="00C80BDA">
              <w:rPr>
                <w:sz w:val="20"/>
                <w:szCs w:val="20"/>
              </w:rPr>
              <w:t xml:space="preserve"> = 378.210,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2,1740.02</w:t>
            </w:r>
            <w:r w:rsidRPr="00C80BDA">
              <w:rPr>
                <w:sz w:val="20"/>
                <w:szCs w:val="20"/>
              </w:rPr>
              <w:t xml:space="preserve"> = 5.631,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ST &gt; SO, SP = SO</w:t>
            </w:r>
            <w:r w:rsidR="00D91702">
              <w:rPr>
                <w:sz w:val="20"/>
                <w:szCs w:val="20"/>
              </w:rPr>
              <w:t>, SP</w:t>
            </w:r>
            <w:r w:rsidRPr="00C80BDA">
              <w:rPr>
                <w:sz w:val="20"/>
                <w:szCs w:val="20"/>
              </w:rPr>
              <w:t xml:space="preserve"> = ST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ML/CW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2,1787.34</w:t>
            </w:r>
            <w:r w:rsidRPr="00C80BDA">
              <w:rPr>
                <w:sz w:val="20"/>
                <w:szCs w:val="20"/>
              </w:rPr>
              <w:t xml:space="preserve"> = 1622.788,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SP &gt; ST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2,1759.32</w:t>
            </w:r>
            <w:r w:rsidRPr="00C80BDA">
              <w:rPr>
                <w:sz w:val="20"/>
                <w:szCs w:val="20"/>
              </w:rPr>
              <w:t xml:space="preserve"> = 403.167,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= 0.004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SP = ST &gt; SO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PW/CW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Male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2,1785.52</w:t>
            </w:r>
            <w:r w:rsidRPr="00C80BDA">
              <w:rPr>
                <w:sz w:val="20"/>
                <w:szCs w:val="20"/>
              </w:rPr>
              <w:t xml:space="preserve"> = 3397.022,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SP &gt; ST</w:t>
            </w:r>
          </w:p>
        </w:tc>
      </w:tr>
      <w:tr w:rsidR="005A22B2" w:rsidRPr="00C80BDA" w:rsidTr="007A2164">
        <w:tc>
          <w:tcPr>
            <w:tcW w:w="1696" w:type="dxa"/>
            <w:tcBorders>
              <w:top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Female</w:t>
            </w:r>
          </w:p>
        </w:tc>
        <w:tc>
          <w:tcPr>
            <w:tcW w:w="3323" w:type="dxa"/>
            <w:tcBorders>
              <w:top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i/>
                <w:sz w:val="20"/>
                <w:szCs w:val="20"/>
              </w:rPr>
              <w:t>F</w:t>
            </w:r>
            <w:r w:rsidRPr="00C80BDA">
              <w:rPr>
                <w:sz w:val="20"/>
                <w:szCs w:val="20"/>
                <w:vertAlign w:val="subscript"/>
              </w:rPr>
              <w:t>2,1733.07</w:t>
            </w:r>
            <w:r w:rsidRPr="00C80BDA">
              <w:rPr>
                <w:sz w:val="20"/>
                <w:szCs w:val="20"/>
              </w:rPr>
              <w:t xml:space="preserve"> = 893.802, </w:t>
            </w:r>
            <w:r w:rsidRPr="00C80BDA">
              <w:rPr>
                <w:i/>
                <w:sz w:val="20"/>
                <w:szCs w:val="20"/>
              </w:rPr>
              <w:t>P</w:t>
            </w:r>
            <w:r w:rsidRPr="00C80BDA"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2857" w:type="dxa"/>
            <w:tcBorders>
              <w:top w:val="nil"/>
            </w:tcBorders>
          </w:tcPr>
          <w:p w:rsidR="005A22B2" w:rsidRPr="00C80BDA" w:rsidRDefault="005A22B2" w:rsidP="007A2164">
            <w:pPr>
              <w:spacing w:line="480" w:lineRule="auto"/>
              <w:rPr>
                <w:sz w:val="20"/>
                <w:szCs w:val="20"/>
              </w:rPr>
            </w:pPr>
            <w:r w:rsidRPr="00C80BDA">
              <w:rPr>
                <w:sz w:val="20"/>
                <w:szCs w:val="20"/>
              </w:rPr>
              <w:t>SO &gt; ST &gt; SP</w:t>
            </w:r>
          </w:p>
        </w:tc>
      </w:tr>
    </w:tbl>
    <w:p w:rsidR="005A22B2" w:rsidRPr="00C80BDA" w:rsidRDefault="005A22B2" w:rsidP="005A22B2">
      <w:pPr>
        <w:rPr>
          <w:sz w:val="20"/>
          <w:szCs w:val="20"/>
        </w:rPr>
      </w:pPr>
      <w:r w:rsidRPr="00C80BDA">
        <w:rPr>
          <w:sz w:val="20"/>
          <w:szCs w:val="20"/>
        </w:rPr>
        <w:t xml:space="preserve">Note: SO = </w:t>
      </w:r>
      <w:r w:rsidRPr="00C80BDA">
        <w:rPr>
          <w:i/>
          <w:sz w:val="20"/>
          <w:szCs w:val="20"/>
        </w:rPr>
        <w:t>S. olivacea</w:t>
      </w:r>
      <w:r w:rsidRPr="00C80BDA">
        <w:rPr>
          <w:sz w:val="20"/>
          <w:szCs w:val="20"/>
        </w:rPr>
        <w:t xml:space="preserve">; ST = </w:t>
      </w:r>
      <w:r w:rsidRPr="00C80BDA">
        <w:rPr>
          <w:i/>
          <w:sz w:val="20"/>
          <w:szCs w:val="20"/>
        </w:rPr>
        <w:t>S. tranquebarica</w:t>
      </w:r>
      <w:r w:rsidRPr="00C80BDA">
        <w:rPr>
          <w:sz w:val="20"/>
          <w:szCs w:val="20"/>
        </w:rPr>
        <w:t xml:space="preserve">; SP = </w:t>
      </w:r>
      <w:r w:rsidRPr="00C80BDA">
        <w:rPr>
          <w:i/>
          <w:sz w:val="20"/>
          <w:szCs w:val="20"/>
        </w:rPr>
        <w:t>S. paramamosain</w:t>
      </w:r>
      <w:r w:rsidR="00D91702">
        <w:rPr>
          <w:sz w:val="20"/>
          <w:szCs w:val="20"/>
        </w:rPr>
        <w:t xml:space="preserve">; </w:t>
      </w:r>
      <w:r w:rsidR="00D91702" w:rsidRPr="00D91702">
        <w:rPr>
          <w:i/>
          <w:iCs/>
          <w:sz w:val="20"/>
          <w:szCs w:val="20"/>
        </w:rPr>
        <w:t>F</w:t>
      </w:r>
      <w:r w:rsidR="00D91702">
        <w:rPr>
          <w:sz w:val="20"/>
          <w:szCs w:val="20"/>
        </w:rPr>
        <w:t xml:space="preserve"> = </w:t>
      </w:r>
      <w:r w:rsidR="00D91702" w:rsidRPr="00D91702">
        <w:rPr>
          <w:i/>
          <w:iCs/>
          <w:sz w:val="20"/>
          <w:szCs w:val="20"/>
        </w:rPr>
        <w:t>F</w:t>
      </w:r>
      <w:r w:rsidR="00D91702">
        <w:rPr>
          <w:sz w:val="20"/>
          <w:szCs w:val="20"/>
        </w:rPr>
        <w:t xml:space="preserve"> value; </w:t>
      </w:r>
      <w:r w:rsidR="00D91702" w:rsidRPr="00D91702">
        <w:rPr>
          <w:i/>
          <w:iCs/>
          <w:sz w:val="20"/>
          <w:szCs w:val="20"/>
        </w:rPr>
        <w:t>P</w:t>
      </w:r>
      <w:r w:rsidR="00D91702">
        <w:rPr>
          <w:sz w:val="20"/>
          <w:szCs w:val="20"/>
        </w:rPr>
        <w:t xml:space="preserve"> = </w:t>
      </w:r>
      <w:r w:rsidR="00D91702" w:rsidRPr="00D91702">
        <w:rPr>
          <w:i/>
          <w:iCs/>
          <w:sz w:val="20"/>
          <w:szCs w:val="20"/>
        </w:rPr>
        <w:t>P</w:t>
      </w:r>
      <w:r w:rsidR="00D91702">
        <w:rPr>
          <w:sz w:val="20"/>
          <w:szCs w:val="20"/>
        </w:rPr>
        <w:t xml:space="preserve"> value.</w:t>
      </w:r>
    </w:p>
    <w:p w:rsidR="005E5613" w:rsidRDefault="003146D9"/>
    <w:sectPr w:rsidR="005E5613" w:rsidSect="005A22B2">
      <w:footerReference w:type="even" r:id="rId6"/>
      <w:footerReference w:type="default" r:id="rId7"/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6D9" w:rsidRDefault="003146D9">
      <w:r>
        <w:separator/>
      </w:r>
    </w:p>
  </w:endnote>
  <w:endnote w:type="continuationSeparator" w:id="0">
    <w:p w:rsidR="003146D9" w:rsidRDefault="003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07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20D53" w:rsidRDefault="005A22B2" w:rsidP="008633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20D53" w:rsidRDefault="003146D9" w:rsidP="008633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759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20D53" w:rsidRDefault="005A22B2" w:rsidP="008633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20D53" w:rsidRDefault="003146D9" w:rsidP="008633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6D9" w:rsidRDefault="003146D9">
      <w:r>
        <w:separator/>
      </w:r>
    </w:p>
  </w:footnote>
  <w:footnote w:type="continuationSeparator" w:id="0">
    <w:p w:rsidR="003146D9" w:rsidRDefault="0031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B2"/>
    <w:rsid w:val="002B00EB"/>
    <w:rsid w:val="003146D9"/>
    <w:rsid w:val="003C61C2"/>
    <w:rsid w:val="0042185B"/>
    <w:rsid w:val="00440F77"/>
    <w:rsid w:val="00444A68"/>
    <w:rsid w:val="005A22B2"/>
    <w:rsid w:val="005D100C"/>
    <w:rsid w:val="00640D74"/>
    <w:rsid w:val="00940A12"/>
    <w:rsid w:val="009972A8"/>
    <w:rsid w:val="00BD7E77"/>
    <w:rsid w:val="00C857AA"/>
    <w:rsid w:val="00CE5D58"/>
    <w:rsid w:val="00D91702"/>
    <w:rsid w:val="00E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ED84D68F-434F-BF49-A62D-985A16F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22B2"/>
    <w:rPr>
      <w:rFonts w:ascii="Times New Roman" w:eastAsia="Times New Roman" w:hAnsi="Times New Roman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22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B2"/>
    <w:rPr>
      <w:rFonts w:ascii="Times New Roman" w:eastAsia="Times New Roman" w:hAnsi="Times New Roman" w:cs="Times New Roman"/>
      <w:lang w:val="en-MY"/>
    </w:rPr>
  </w:style>
  <w:style w:type="character" w:styleId="PageNumber">
    <w:name w:val="page number"/>
    <w:basedOn w:val="DefaultParagraphFont"/>
    <w:uiPriority w:val="99"/>
    <w:semiHidden/>
    <w:unhideWhenUsed/>
    <w:rsid w:val="005A22B2"/>
  </w:style>
  <w:style w:type="character" w:styleId="LineNumber">
    <w:name w:val="line number"/>
    <w:basedOn w:val="DefaultParagraphFont"/>
    <w:uiPriority w:val="99"/>
    <w:semiHidden/>
    <w:unhideWhenUsed/>
    <w:rsid w:val="005A22B2"/>
  </w:style>
  <w:style w:type="paragraph" w:styleId="BalloonText">
    <w:name w:val="Balloon Text"/>
    <w:basedOn w:val="Normal"/>
    <w:link w:val="BalloonTextChar"/>
    <w:uiPriority w:val="99"/>
    <w:semiHidden/>
    <w:unhideWhenUsed/>
    <w:rsid w:val="00D917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02"/>
    <w:rPr>
      <w:rFonts w:ascii="Times New Roman" w:eastAsia="Times New Roman" w:hAnsi="Times New Roman" w:cs="Times New Roman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 Waiho</dc:creator>
  <cp:keywords/>
  <dc:description/>
  <cp:lastModifiedBy>Khor Waiho</cp:lastModifiedBy>
  <cp:revision>3</cp:revision>
  <dcterms:created xsi:type="dcterms:W3CDTF">2020-06-21T04:59:00Z</dcterms:created>
  <dcterms:modified xsi:type="dcterms:W3CDTF">2020-08-01T09:20:00Z</dcterms:modified>
</cp:coreProperties>
</file>