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ABA2" w14:textId="0EBFF47E" w:rsidR="004B5674" w:rsidRPr="000F5885" w:rsidRDefault="004B5674" w:rsidP="00415AB7">
      <w:pPr>
        <w:shd w:val="clear" w:color="auto" w:fill="FFFFFF"/>
        <w:rPr>
          <w:rFonts w:eastAsia="Times New Roman"/>
          <w:bCs/>
          <w:color w:val="333333"/>
        </w:rPr>
      </w:pPr>
      <w:r w:rsidRPr="000F5885">
        <w:rPr>
          <w:rFonts w:eastAsia="Times New Roman"/>
          <w:bCs/>
          <w:color w:val="333333"/>
        </w:rPr>
        <w:t xml:space="preserve">Table </w:t>
      </w:r>
      <w:r w:rsidR="0092094E">
        <w:rPr>
          <w:rFonts w:eastAsia="Times New Roman"/>
          <w:bCs/>
          <w:color w:val="333333"/>
        </w:rPr>
        <w:t>S</w:t>
      </w:r>
      <w:r w:rsidRPr="000F5885">
        <w:rPr>
          <w:rFonts w:eastAsia="Times New Roman"/>
          <w:bCs/>
          <w:color w:val="333333"/>
        </w:rPr>
        <w:t xml:space="preserve">1. Primers used for amplification of the barcodes </w:t>
      </w:r>
      <w:proofErr w:type="spellStart"/>
      <w:r w:rsidRPr="000F5885">
        <w:rPr>
          <w:rFonts w:eastAsia="Times New Roman"/>
          <w:i/>
          <w:iCs/>
          <w:color w:val="000000" w:themeColor="text1"/>
          <w:shd w:val="clear" w:color="auto" w:fill="FFFFFF"/>
        </w:rPr>
        <w:t>psbA-trnH</w:t>
      </w:r>
      <w:proofErr w:type="spellEnd"/>
      <w:r w:rsidR="00537AAC" w:rsidRPr="000F5885">
        <w:rPr>
          <w:rFonts w:eastAsia="Times New Roman"/>
          <w:i/>
          <w:iCs/>
          <w:color w:val="000000" w:themeColor="text1"/>
          <w:shd w:val="clear" w:color="auto" w:fill="FFFFFF"/>
        </w:rPr>
        <w:t xml:space="preserve"> </w:t>
      </w:r>
      <w:r w:rsidR="00537AAC" w:rsidRPr="000F5885">
        <w:rPr>
          <w:rFonts w:eastAsia="Times New Roman"/>
          <w:iCs/>
          <w:color w:val="000000" w:themeColor="text1"/>
          <w:shd w:val="clear" w:color="auto" w:fill="FFFFFF"/>
        </w:rPr>
        <w:t>spacer</w:t>
      </w:r>
      <w:r w:rsidRPr="000F5885">
        <w:rPr>
          <w:rFonts w:eastAsia="Times New Roman"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0F5885">
        <w:rPr>
          <w:rFonts w:eastAsia="Times New Roman"/>
          <w:i/>
          <w:iCs/>
          <w:color w:val="000000" w:themeColor="text1"/>
        </w:rPr>
        <w:t>psbK-psbI</w:t>
      </w:r>
      <w:proofErr w:type="spellEnd"/>
      <w:r w:rsidR="00537AAC" w:rsidRPr="000F5885">
        <w:rPr>
          <w:rFonts w:eastAsia="Times New Roman"/>
          <w:i/>
          <w:iCs/>
          <w:color w:val="000000" w:themeColor="text1"/>
        </w:rPr>
        <w:t xml:space="preserve"> </w:t>
      </w:r>
      <w:r w:rsidR="00537AAC" w:rsidRPr="000F5885">
        <w:rPr>
          <w:rFonts w:eastAsia="Times New Roman"/>
          <w:iCs/>
          <w:color w:val="000000" w:themeColor="text1"/>
        </w:rPr>
        <w:t>spacer</w:t>
      </w:r>
      <w:r w:rsidRPr="000F5885">
        <w:rPr>
          <w:rFonts w:eastAsia="Times New Roman"/>
          <w:i/>
          <w:iCs/>
          <w:color w:val="000000" w:themeColor="text1"/>
        </w:rPr>
        <w:t xml:space="preserve">, </w:t>
      </w:r>
      <w:proofErr w:type="spellStart"/>
      <w:r w:rsidRPr="000F5885">
        <w:rPr>
          <w:rFonts w:eastAsia="Times New Roman"/>
          <w:i/>
          <w:iCs/>
          <w:color w:val="000000" w:themeColor="text1"/>
        </w:rPr>
        <w:t>rpoB</w:t>
      </w:r>
      <w:proofErr w:type="spellEnd"/>
      <w:r w:rsidRPr="000F5885">
        <w:rPr>
          <w:rFonts w:eastAsia="Times New Roman"/>
          <w:i/>
          <w:iCs/>
          <w:color w:val="000000" w:themeColor="text1"/>
        </w:rPr>
        <w:t xml:space="preserve">, rpoC1, </w:t>
      </w:r>
      <w:proofErr w:type="spellStart"/>
      <w:r w:rsidRPr="000F5885">
        <w:rPr>
          <w:rFonts w:eastAsia="Times New Roman"/>
          <w:bCs/>
          <w:i/>
          <w:color w:val="000000" w:themeColor="text1"/>
        </w:rPr>
        <w:t>atpF-atpH</w:t>
      </w:r>
      <w:proofErr w:type="spellEnd"/>
      <w:r w:rsidR="00537AAC" w:rsidRPr="000F5885">
        <w:rPr>
          <w:rFonts w:eastAsia="Times New Roman"/>
          <w:bCs/>
          <w:i/>
          <w:color w:val="000000" w:themeColor="text1"/>
        </w:rPr>
        <w:t xml:space="preserve"> </w:t>
      </w:r>
      <w:r w:rsidR="00537AAC" w:rsidRPr="000F5885">
        <w:rPr>
          <w:rFonts w:eastAsia="Times New Roman"/>
          <w:bCs/>
          <w:color w:val="000000" w:themeColor="text1"/>
        </w:rPr>
        <w:t>spacer</w:t>
      </w:r>
      <w:r w:rsidRPr="000F5885">
        <w:rPr>
          <w:rFonts w:eastAsia="Times New Roman"/>
          <w:i/>
          <w:iCs/>
          <w:color w:val="000000" w:themeColor="text1"/>
        </w:rPr>
        <w:t xml:space="preserve">, </w:t>
      </w:r>
      <w:proofErr w:type="spellStart"/>
      <w:r w:rsidRPr="000F5885">
        <w:rPr>
          <w:rFonts w:eastAsia="Times New Roman"/>
          <w:bCs/>
          <w:i/>
          <w:iCs/>
          <w:color w:val="333333"/>
        </w:rPr>
        <w:t>rbc</w:t>
      </w:r>
      <w:r w:rsidRPr="000F5885">
        <w:rPr>
          <w:rFonts w:eastAsia="Times New Roman"/>
          <w:bCs/>
          <w:color w:val="333333"/>
        </w:rPr>
        <w:t>L</w:t>
      </w:r>
      <w:proofErr w:type="spellEnd"/>
      <w:r w:rsidRPr="000F5885">
        <w:rPr>
          <w:rFonts w:eastAsia="Times New Roman"/>
          <w:bCs/>
          <w:color w:val="333333"/>
        </w:rPr>
        <w:t>, </w:t>
      </w:r>
      <w:proofErr w:type="spellStart"/>
      <w:r w:rsidRPr="000F5885">
        <w:rPr>
          <w:rFonts w:eastAsia="Times New Roman"/>
          <w:bCs/>
          <w:i/>
          <w:iCs/>
          <w:color w:val="333333"/>
        </w:rPr>
        <w:t>mat</w:t>
      </w:r>
      <w:r w:rsidR="00537AAC" w:rsidRPr="000F5885">
        <w:rPr>
          <w:rFonts w:eastAsia="Times New Roman"/>
          <w:bCs/>
          <w:color w:val="333333"/>
        </w:rPr>
        <w:t>K</w:t>
      </w:r>
      <w:proofErr w:type="spellEnd"/>
      <w:r w:rsidR="00537AAC" w:rsidRPr="000F5885">
        <w:rPr>
          <w:rFonts w:eastAsia="Times New Roman"/>
          <w:bCs/>
          <w:color w:val="333333"/>
        </w:rPr>
        <w:t>,</w:t>
      </w:r>
      <w:r w:rsidRPr="000F5885">
        <w:rPr>
          <w:rFonts w:eastAsia="Times New Roman"/>
          <w:bCs/>
          <w:color w:val="333333"/>
        </w:rPr>
        <w:t xml:space="preserve"> and ITS2</w:t>
      </w:r>
    </w:p>
    <w:p w14:paraId="03F26B6C" w14:textId="77777777" w:rsidR="00682334" w:rsidRPr="009F4A1D" w:rsidRDefault="00682334" w:rsidP="00833AC7">
      <w:pPr>
        <w:ind w:left="288" w:hanging="288"/>
        <w:jc w:val="both"/>
        <w:rPr>
          <w:rFonts w:eastAsia="Times New Roman"/>
          <w:color w:val="000000"/>
          <w:sz w:val="16"/>
          <w:szCs w:val="16"/>
        </w:rPr>
      </w:pPr>
    </w:p>
    <w:tbl>
      <w:tblPr>
        <w:tblW w:w="4712" w:type="pct"/>
        <w:tblLayout w:type="fixed"/>
        <w:tblLook w:val="04A0" w:firstRow="1" w:lastRow="0" w:firstColumn="1" w:lastColumn="0" w:noHBand="0" w:noVBand="1"/>
      </w:tblPr>
      <w:tblGrid>
        <w:gridCol w:w="1171"/>
        <w:gridCol w:w="4049"/>
        <w:gridCol w:w="901"/>
        <w:gridCol w:w="1529"/>
        <w:gridCol w:w="1171"/>
      </w:tblGrid>
      <w:tr w:rsidR="00537AAC" w14:paraId="67A649E9" w14:textId="77777777" w:rsidTr="00537AAC">
        <w:trPr>
          <w:trHeight w:val="1006"/>
        </w:trPr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7545D" w14:textId="77777777" w:rsidR="004B5674" w:rsidRPr="00537AAC" w:rsidRDefault="004B5674" w:rsidP="004B5674">
            <w:pPr>
              <w:jc w:val="both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37AAC">
              <w:rPr>
                <w:rFonts w:eastAsia="Times New Roman"/>
                <w:b/>
                <w:bCs/>
                <w:color w:val="000000"/>
                <w:sz w:val="22"/>
              </w:rPr>
              <w:t>Primer pairs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C338D" w14:textId="77777777" w:rsidR="004B5674" w:rsidRPr="00537AAC" w:rsidRDefault="004B5674" w:rsidP="004B5674">
            <w:pPr>
              <w:jc w:val="both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37AAC">
              <w:rPr>
                <w:rFonts w:eastAsia="Times New Roman"/>
                <w:b/>
                <w:bCs/>
                <w:color w:val="000000"/>
                <w:sz w:val="22"/>
              </w:rPr>
              <w:t>Sequence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271CD" w14:textId="77777777" w:rsidR="004B5674" w:rsidRPr="00537AAC" w:rsidRDefault="004B5674" w:rsidP="004B5674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2"/>
              </w:rPr>
            </w:pPr>
            <w:r w:rsidRPr="00537AAC">
              <w:rPr>
                <w:rFonts w:eastAsia="Times New Roman"/>
                <w:b/>
                <w:bCs/>
                <w:i/>
                <w:iCs/>
                <w:color w:val="000000"/>
                <w:sz w:val="22"/>
              </w:rPr>
              <w:t>Locus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279E70" w14:textId="7C34C123" w:rsidR="004B5674" w:rsidRPr="00537AAC" w:rsidRDefault="004B5674" w:rsidP="004B5674">
            <w:pPr>
              <w:jc w:val="both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37AAC">
              <w:rPr>
                <w:rFonts w:eastAsia="Times New Roman"/>
                <w:b/>
                <w:bCs/>
                <w:color w:val="000000"/>
                <w:sz w:val="22"/>
              </w:rPr>
              <w:t>Annealing temperature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4AD8D" w14:textId="10CBA28C" w:rsidR="004B5674" w:rsidRPr="00537AAC" w:rsidRDefault="004B5674" w:rsidP="004B5674">
            <w:pPr>
              <w:jc w:val="both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37AAC">
              <w:rPr>
                <w:rFonts w:eastAsia="Times New Roman"/>
                <w:b/>
                <w:bCs/>
                <w:color w:val="000000"/>
                <w:sz w:val="22"/>
              </w:rPr>
              <w:t>Reference</w:t>
            </w:r>
          </w:p>
        </w:tc>
      </w:tr>
      <w:tr w:rsidR="00537AAC" w14:paraId="24BFE6A3" w14:textId="77777777" w:rsidTr="00537AAC">
        <w:trPr>
          <w:trHeight w:val="460"/>
        </w:trPr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5EC3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trnHf_05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46FE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CGCGCATGGTGGATTCACAATCC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4454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psbA-trnH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D41C38" w14:textId="0EE24EA8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60°C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4459" w14:textId="5DF616C3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Basak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et al. (2019)</w:t>
            </w:r>
          </w:p>
        </w:tc>
      </w:tr>
      <w:tr w:rsidR="00537AAC" w14:paraId="039D55BD" w14:textId="77777777" w:rsidTr="00537AAC">
        <w:trPr>
          <w:trHeight w:val="460"/>
        </w:trPr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70FFCFF5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psbA3_f</w:t>
            </w:r>
          </w:p>
        </w:tc>
        <w:tc>
          <w:tcPr>
            <w:tcW w:w="4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20D9D48E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GTTATGCATGAACGTAATGCTC</w:t>
            </w:r>
          </w:p>
        </w:tc>
        <w:tc>
          <w:tcPr>
            <w:tcW w:w="9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5FBC0A73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ED3CEA8" w14:textId="77777777" w:rsidR="004B5674" w:rsidRDefault="004B5674" w:rsidP="004B56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4BE9C6D4" w14:textId="184B60F8" w:rsidR="004B5674" w:rsidRDefault="004B5674" w:rsidP="004B5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7AAC" w14:paraId="16D331A5" w14:textId="77777777" w:rsidTr="00537AAC">
        <w:trPr>
          <w:trHeight w:val="460"/>
        </w:trPr>
        <w:tc>
          <w:tcPr>
            <w:tcW w:w="117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45EEDAD9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psbK_F</w:t>
            </w:r>
            <w:proofErr w:type="spellEnd"/>
          </w:p>
        </w:tc>
        <w:tc>
          <w:tcPr>
            <w:tcW w:w="404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774E9098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TTAGCCTTTGTTTGGCAAG</w:t>
            </w:r>
          </w:p>
        </w:tc>
        <w:tc>
          <w:tcPr>
            <w:tcW w:w="90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1C0E084A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psbK-psbI</w:t>
            </w:r>
            <w:proofErr w:type="spellEnd"/>
          </w:p>
        </w:tc>
        <w:tc>
          <w:tcPr>
            <w:tcW w:w="1529" w:type="dxa"/>
            <w:tcBorders>
              <w:top w:val="dashed" w:sz="4" w:space="0" w:color="auto"/>
              <w:left w:val="nil"/>
              <w:right w:val="nil"/>
            </w:tcBorders>
          </w:tcPr>
          <w:p w14:paraId="5DAD7D94" w14:textId="1AF04F16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56°C</w:t>
            </w:r>
          </w:p>
        </w:tc>
        <w:tc>
          <w:tcPr>
            <w:tcW w:w="117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6160B61A" w14:textId="3EABBE3A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Basak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et al. (2019)</w:t>
            </w:r>
          </w:p>
        </w:tc>
      </w:tr>
      <w:tr w:rsidR="00537AAC" w14:paraId="2A79722D" w14:textId="77777777" w:rsidTr="00537AAC">
        <w:trPr>
          <w:trHeight w:val="460"/>
        </w:trPr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3F244189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psbI_R</w:t>
            </w:r>
            <w:proofErr w:type="spellEnd"/>
          </w:p>
        </w:tc>
        <w:tc>
          <w:tcPr>
            <w:tcW w:w="4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6CF30041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AGAGTTTGAGAGTAAGCAT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415DB580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F7A107" w14:textId="6E76020D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4308BAF4" w14:textId="63B76DAE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37AAC" w14:paraId="430572F5" w14:textId="77777777" w:rsidTr="00537AAC">
        <w:trPr>
          <w:trHeight w:val="460"/>
        </w:trPr>
        <w:tc>
          <w:tcPr>
            <w:tcW w:w="117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101DFB5F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rpoB_2F</w:t>
            </w:r>
          </w:p>
        </w:tc>
        <w:tc>
          <w:tcPr>
            <w:tcW w:w="404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694128E0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ATGCAACGTCAAGCAGTTCC</w:t>
            </w:r>
          </w:p>
        </w:tc>
        <w:tc>
          <w:tcPr>
            <w:tcW w:w="90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03CA1084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rpoB</w:t>
            </w:r>
            <w:proofErr w:type="spellEnd"/>
          </w:p>
        </w:tc>
        <w:tc>
          <w:tcPr>
            <w:tcW w:w="1529" w:type="dxa"/>
            <w:tcBorders>
              <w:top w:val="dashed" w:sz="4" w:space="0" w:color="auto"/>
              <w:left w:val="nil"/>
              <w:right w:val="nil"/>
            </w:tcBorders>
          </w:tcPr>
          <w:p w14:paraId="2BDC4EB9" w14:textId="53E2FF15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50°C</w:t>
            </w:r>
          </w:p>
        </w:tc>
        <w:tc>
          <w:tcPr>
            <w:tcW w:w="117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79E84415" w14:textId="4CE943D6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Basak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et al. (2019)</w:t>
            </w:r>
          </w:p>
        </w:tc>
      </w:tr>
      <w:tr w:rsidR="00537AAC" w14:paraId="50750C6B" w14:textId="77777777" w:rsidTr="00537AAC">
        <w:trPr>
          <w:trHeight w:val="460"/>
        </w:trPr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4317F0E1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rpoB_3R</w:t>
            </w:r>
          </w:p>
        </w:tc>
        <w:tc>
          <w:tcPr>
            <w:tcW w:w="4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0880B358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CCGTATGTGAAAAGAAGTATA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4C6CF502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1A6D726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0B0036DB" w14:textId="3DC4CADA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37AAC" w14:paraId="34F61D60" w14:textId="77777777" w:rsidTr="00537AAC">
        <w:trPr>
          <w:trHeight w:val="460"/>
        </w:trPr>
        <w:tc>
          <w:tcPr>
            <w:tcW w:w="117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356A32CC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rpoC1_2F</w:t>
            </w:r>
          </w:p>
        </w:tc>
        <w:tc>
          <w:tcPr>
            <w:tcW w:w="404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462B925A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GGCAAAGAGGGAAGATTTCG</w:t>
            </w:r>
          </w:p>
        </w:tc>
        <w:tc>
          <w:tcPr>
            <w:tcW w:w="90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109A6329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rpoC1</w:t>
            </w:r>
          </w:p>
        </w:tc>
        <w:tc>
          <w:tcPr>
            <w:tcW w:w="1529" w:type="dxa"/>
            <w:tcBorders>
              <w:top w:val="dashed" w:sz="4" w:space="0" w:color="auto"/>
              <w:left w:val="nil"/>
              <w:right w:val="nil"/>
            </w:tcBorders>
          </w:tcPr>
          <w:p w14:paraId="54D8E71E" w14:textId="46609EA6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60°C</w:t>
            </w:r>
          </w:p>
        </w:tc>
        <w:tc>
          <w:tcPr>
            <w:tcW w:w="117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0DDAD4EB" w14:textId="3898B15C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Basak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et al. (2019)</w:t>
            </w:r>
          </w:p>
        </w:tc>
      </w:tr>
      <w:tr w:rsidR="00537AAC" w14:paraId="6780C435" w14:textId="77777777" w:rsidTr="00537AAC">
        <w:trPr>
          <w:trHeight w:val="460"/>
        </w:trPr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60D1AF75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rpoC1_4R</w:t>
            </w:r>
          </w:p>
        </w:tc>
        <w:tc>
          <w:tcPr>
            <w:tcW w:w="4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6745158F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CCATAAGCATATCTTGAGTTGG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60590B07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0F931D2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530903F4" w14:textId="20275BCB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37AAC" w14:paraId="1950D485" w14:textId="77777777" w:rsidTr="00537AAC">
        <w:trPr>
          <w:trHeight w:val="460"/>
        </w:trPr>
        <w:tc>
          <w:tcPr>
            <w:tcW w:w="117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193E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atpF_F</w:t>
            </w:r>
            <w:proofErr w:type="spellEnd"/>
          </w:p>
        </w:tc>
        <w:tc>
          <w:tcPr>
            <w:tcW w:w="404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4042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ACTCGCACACACTCCCTTTCC</w:t>
            </w:r>
          </w:p>
        </w:tc>
        <w:tc>
          <w:tcPr>
            <w:tcW w:w="9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EA8E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atpF-atpH</w:t>
            </w:r>
            <w:proofErr w:type="spellEnd"/>
          </w:p>
        </w:tc>
        <w:tc>
          <w:tcPr>
            <w:tcW w:w="152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754C760" w14:textId="03B30DDD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56°C</w:t>
            </w:r>
          </w:p>
        </w:tc>
        <w:tc>
          <w:tcPr>
            <w:tcW w:w="117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4DD5" w14:textId="12F90C2D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Basak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et al. (2019)</w:t>
            </w:r>
          </w:p>
        </w:tc>
      </w:tr>
      <w:tr w:rsidR="00537AAC" w14:paraId="4B05C588" w14:textId="77777777" w:rsidTr="00537AAC">
        <w:trPr>
          <w:trHeight w:val="460"/>
        </w:trPr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4CF5B155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atpH_R</w:t>
            </w:r>
            <w:proofErr w:type="spellEnd"/>
          </w:p>
        </w:tc>
        <w:tc>
          <w:tcPr>
            <w:tcW w:w="4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08A0DA81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GCTTTTATGGAAGCTTTAACAAT</w:t>
            </w:r>
          </w:p>
        </w:tc>
        <w:tc>
          <w:tcPr>
            <w:tcW w:w="9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1DEB4B6D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245BF2" w14:textId="77777777" w:rsidR="004B5674" w:rsidRDefault="004B5674" w:rsidP="004B56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66B94FCA" w14:textId="0A71B473" w:rsidR="004B5674" w:rsidRDefault="004B5674" w:rsidP="004B5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7AAC" w14:paraId="065C958E" w14:textId="77777777" w:rsidTr="00537AAC">
        <w:trPr>
          <w:trHeight w:val="460"/>
        </w:trPr>
        <w:tc>
          <w:tcPr>
            <w:tcW w:w="117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3777C0DB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rbcLA_F</w:t>
            </w:r>
            <w:proofErr w:type="spellEnd"/>
          </w:p>
        </w:tc>
        <w:tc>
          <w:tcPr>
            <w:tcW w:w="404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082E7238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ATGTCACCACAAACAGAGACTAAAGC</w:t>
            </w:r>
          </w:p>
        </w:tc>
        <w:tc>
          <w:tcPr>
            <w:tcW w:w="90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78E08DF4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rbc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529" w:type="dxa"/>
            <w:tcBorders>
              <w:top w:val="dashed" w:sz="4" w:space="0" w:color="auto"/>
              <w:left w:val="nil"/>
              <w:right w:val="nil"/>
            </w:tcBorders>
          </w:tcPr>
          <w:p w14:paraId="5D37E339" w14:textId="07279CAC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60°C</w:t>
            </w:r>
          </w:p>
        </w:tc>
        <w:tc>
          <w:tcPr>
            <w:tcW w:w="117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59B2D202" w14:textId="58E82748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Costion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et al. (2011)</w:t>
            </w:r>
          </w:p>
        </w:tc>
      </w:tr>
      <w:tr w:rsidR="00537AAC" w14:paraId="656FCD3B" w14:textId="77777777" w:rsidTr="00537AAC">
        <w:trPr>
          <w:trHeight w:val="460"/>
        </w:trPr>
        <w:tc>
          <w:tcPr>
            <w:tcW w:w="1171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28E212EC" w14:textId="4039B192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rbcLA_R</w:t>
            </w:r>
            <w:proofErr w:type="spellEnd"/>
          </w:p>
        </w:tc>
        <w:tc>
          <w:tcPr>
            <w:tcW w:w="404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03FCB344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GTAAAATCAAGTCCACCRCG</w:t>
            </w:r>
          </w:p>
        </w:tc>
        <w:tc>
          <w:tcPr>
            <w:tcW w:w="901" w:type="dxa"/>
            <w:vMerge/>
            <w:tcBorders>
              <w:left w:val="nil"/>
              <w:bottom w:val="dashed" w:sz="4" w:space="0" w:color="auto"/>
              <w:right w:val="nil"/>
            </w:tcBorders>
            <w:hideMark/>
          </w:tcPr>
          <w:p w14:paraId="1075EEC7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dashed" w:sz="4" w:space="0" w:color="auto"/>
              <w:right w:val="nil"/>
            </w:tcBorders>
          </w:tcPr>
          <w:p w14:paraId="73FD0491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nil"/>
              <w:bottom w:val="dashed" w:sz="4" w:space="0" w:color="auto"/>
              <w:right w:val="nil"/>
            </w:tcBorders>
            <w:hideMark/>
          </w:tcPr>
          <w:p w14:paraId="17560F2E" w14:textId="4414FB64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37AAC" w14:paraId="3005DC76" w14:textId="77777777" w:rsidTr="00537AAC">
        <w:trPr>
          <w:trHeight w:val="460"/>
        </w:trPr>
        <w:tc>
          <w:tcPr>
            <w:tcW w:w="117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0D2132F8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matK_3F_KIMF</w:t>
            </w:r>
          </w:p>
        </w:tc>
        <w:tc>
          <w:tcPr>
            <w:tcW w:w="404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4DAD0219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CGTACAGTACTTTTGTGTTTACGAG</w:t>
            </w:r>
          </w:p>
        </w:tc>
        <w:tc>
          <w:tcPr>
            <w:tcW w:w="90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01366728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mat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29" w:type="dxa"/>
            <w:tcBorders>
              <w:top w:val="dashed" w:sz="4" w:space="0" w:color="auto"/>
              <w:left w:val="nil"/>
              <w:right w:val="nil"/>
            </w:tcBorders>
          </w:tcPr>
          <w:p w14:paraId="74300BA8" w14:textId="15B22D9B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56°C</w:t>
            </w:r>
          </w:p>
        </w:tc>
        <w:tc>
          <w:tcPr>
            <w:tcW w:w="117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1F20167E" w14:textId="4CA51554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Costion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et al. (2011)</w:t>
            </w:r>
          </w:p>
        </w:tc>
      </w:tr>
      <w:tr w:rsidR="00537AAC" w14:paraId="346DFA15" w14:textId="77777777" w:rsidTr="00537AAC">
        <w:trPr>
          <w:trHeight w:val="460"/>
        </w:trPr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6BE75725" w14:textId="005E09D5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matK_1R_KIMR</w:t>
            </w:r>
          </w:p>
        </w:tc>
        <w:tc>
          <w:tcPr>
            <w:tcW w:w="4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25071872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ACCCAGTCCATCTGGAAATCTTGGTTC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1C41A229" w14:textId="77777777" w:rsidR="004B5674" w:rsidRDefault="004B5674" w:rsidP="004B56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5FECC9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1CF6C315" w14:textId="723C2B8E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37AAC" w14:paraId="0F3CE77F" w14:textId="77777777" w:rsidTr="00537AAC">
        <w:trPr>
          <w:trHeight w:val="460"/>
        </w:trPr>
        <w:tc>
          <w:tcPr>
            <w:tcW w:w="117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7A1FCCAB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S2F</w:t>
            </w:r>
          </w:p>
        </w:tc>
        <w:tc>
          <w:tcPr>
            <w:tcW w:w="404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30FBC28B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ATGCGATACTTGGTGTGAAT</w:t>
            </w:r>
          </w:p>
        </w:tc>
        <w:tc>
          <w:tcPr>
            <w:tcW w:w="90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4563233D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ITS2</w:t>
            </w:r>
          </w:p>
        </w:tc>
        <w:tc>
          <w:tcPr>
            <w:tcW w:w="1529" w:type="dxa"/>
            <w:tcBorders>
              <w:top w:val="dashed" w:sz="4" w:space="0" w:color="auto"/>
              <w:left w:val="nil"/>
              <w:right w:val="nil"/>
            </w:tcBorders>
          </w:tcPr>
          <w:p w14:paraId="183DDA9A" w14:textId="6F8C52D8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60°C</w:t>
            </w:r>
          </w:p>
        </w:tc>
        <w:tc>
          <w:tcPr>
            <w:tcW w:w="1171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hideMark/>
          </w:tcPr>
          <w:p w14:paraId="074BC5B6" w14:textId="400B9AC9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Cheng et al. (2015)</w:t>
            </w:r>
          </w:p>
        </w:tc>
      </w:tr>
      <w:tr w:rsidR="00537AAC" w14:paraId="2A268852" w14:textId="77777777" w:rsidTr="00537AAC">
        <w:trPr>
          <w:trHeight w:val="460"/>
        </w:trPr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9A1D2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S3R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1BA7C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GACGCTTCTCCAGACTACAAT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2C0A4A" w14:textId="77777777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9D56" w14:textId="78A5482A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939605" w14:textId="17F807A9" w:rsidR="004B5674" w:rsidRDefault="004B5674" w:rsidP="004B56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FC81AB3" w14:textId="77777777" w:rsidR="00833AC7" w:rsidRDefault="00833AC7" w:rsidP="004B5674">
      <w:pPr>
        <w:jc w:val="both"/>
      </w:pPr>
    </w:p>
    <w:p w14:paraId="2C2486A6" w14:textId="77777777" w:rsidR="00260B16" w:rsidRPr="00ED1300" w:rsidRDefault="00260B16" w:rsidP="00260B16">
      <w:pPr>
        <w:rPr>
          <w:sz w:val="20"/>
          <w:szCs w:val="20"/>
        </w:rPr>
      </w:pPr>
    </w:p>
    <w:p w14:paraId="6D6A5C7D" w14:textId="5A586AE1" w:rsidR="003202E2" w:rsidRPr="00644ED7" w:rsidRDefault="003202E2" w:rsidP="00260B16">
      <w:pPr>
        <w:pStyle w:val="NormalWeb"/>
        <w:rPr>
          <w:b/>
        </w:rPr>
      </w:pPr>
      <w:r w:rsidRPr="00644ED7">
        <w:rPr>
          <w:b/>
        </w:rPr>
        <w:t>References</w:t>
      </w:r>
    </w:p>
    <w:p w14:paraId="15B7C072" w14:textId="77777777" w:rsidR="00644ED7" w:rsidRPr="00644ED7" w:rsidRDefault="00644ED7" w:rsidP="00644ED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/>
        </w:rPr>
      </w:pPr>
      <w:proofErr w:type="spellStart"/>
      <w:r w:rsidRPr="00644ED7">
        <w:rPr>
          <w:color w:val="000000"/>
        </w:rPr>
        <w:t>Basak</w:t>
      </w:r>
      <w:proofErr w:type="spellEnd"/>
      <w:r w:rsidRPr="00644ED7">
        <w:rPr>
          <w:color w:val="000000"/>
        </w:rPr>
        <w:t xml:space="preserve"> S, </w:t>
      </w:r>
      <w:proofErr w:type="spellStart"/>
      <w:r w:rsidRPr="00644ED7">
        <w:rPr>
          <w:color w:val="000000"/>
        </w:rPr>
        <w:t>Aadi</w:t>
      </w:r>
      <w:proofErr w:type="spellEnd"/>
      <w:r w:rsidRPr="00644ED7">
        <w:rPr>
          <w:color w:val="000000"/>
        </w:rPr>
        <w:t xml:space="preserve"> </w:t>
      </w:r>
      <w:proofErr w:type="spellStart"/>
      <w:r w:rsidRPr="00644ED7">
        <w:rPr>
          <w:color w:val="000000"/>
        </w:rPr>
        <w:t>Moolam</w:t>
      </w:r>
      <w:proofErr w:type="spellEnd"/>
      <w:r w:rsidRPr="00644ED7">
        <w:rPr>
          <w:color w:val="000000"/>
        </w:rPr>
        <w:t xml:space="preserve"> R, </w:t>
      </w:r>
      <w:proofErr w:type="spellStart"/>
      <w:r w:rsidRPr="00644ED7">
        <w:rPr>
          <w:color w:val="000000"/>
        </w:rPr>
        <w:t>Parida</w:t>
      </w:r>
      <w:proofErr w:type="spellEnd"/>
      <w:r w:rsidRPr="00644ED7">
        <w:rPr>
          <w:color w:val="000000"/>
        </w:rPr>
        <w:t xml:space="preserve"> A, </w:t>
      </w:r>
      <w:proofErr w:type="spellStart"/>
      <w:r w:rsidRPr="00644ED7">
        <w:rPr>
          <w:color w:val="000000"/>
        </w:rPr>
        <w:t>Mitra</w:t>
      </w:r>
      <w:proofErr w:type="spellEnd"/>
      <w:r w:rsidRPr="00644ED7">
        <w:rPr>
          <w:color w:val="000000"/>
        </w:rPr>
        <w:t xml:space="preserve"> S, </w:t>
      </w:r>
      <w:proofErr w:type="spellStart"/>
      <w:r w:rsidRPr="00644ED7">
        <w:rPr>
          <w:color w:val="000000"/>
        </w:rPr>
        <w:t>Rangan</w:t>
      </w:r>
      <w:proofErr w:type="spellEnd"/>
      <w:r w:rsidRPr="00644ED7">
        <w:rPr>
          <w:color w:val="000000"/>
        </w:rPr>
        <w:t xml:space="preserve"> L. 2019. Evaluation of rapid molecular diagnostics for differentiating medicinal </w:t>
      </w:r>
      <w:proofErr w:type="spellStart"/>
      <w:r w:rsidRPr="00644ED7">
        <w:rPr>
          <w:color w:val="000000"/>
        </w:rPr>
        <w:t>Kaempferia</w:t>
      </w:r>
      <w:proofErr w:type="spellEnd"/>
      <w:r w:rsidRPr="00644ED7">
        <w:rPr>
          <w:color w:val="000000"/>
        </w:rPr>
        <w:t xml:space="preserve"> species from its adulterants. Plant Diversity 41(3):206–211 </w:t>
      </w:r>
      <w:r w:rsidRPr="00644ED7">
        <w:rPr>
          <w:color w:val="1292FB"/>
        </w:rPr>
        <w:t>DOI 10.1016/j.pld.2019.04.003</w:t>
      </w:r>
      <w:r w:rsidRPr="00644ED7">
        <w:rPr>
          <w:color w:val="000000"/>
        </w:rPr>
        <w:t xml:space="preserve">. </w:t>
      </w:r>
    </w:p>
    <w:p w14:paraId="557752DB" w14:textId="77777777" w:rsidR="00644ED7" w:rsidRPr="00644ED7" w:rsidRDefault="00644ED7" w:rsidP="00644ED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/>
        </w:rPr>
      </w:pPr>
      <w:r w:rsidRPr="00644ED7">
        <w:rPr>
          <w:color w:val="000000"/>
        </w:rPr>
        <w:t xml:space="preserve">Cheng T, Xu C, Lei L, Li C, Zhang Y, Zhou S. 2015. Barcoding the kingdom Plantae: new PCR primers for ITS regions of plants with improved universality and specificity. Molecular Ecology Resources 16(1):138–149. </w:t>
      </w:r>
      <w:bookmarkStart w:id="0" w:name="_GoBack"/>
      <w:bookmarkEnd w:id="0"/>
    </w:p>
    <w:p w14:paraId="21CD418C" w14:textId="77777777" w:rsidR="00644ED7" w:rsidRPr="00644ED7" w:rsidRDefault="00644ED7" w:rsidP="00644ED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/>
        </w:rPr>
      </w:pPr>
      <w:proofErr w:type="spellStart"/>
      <w:r w:rsidRPr="00644ED7">
        <w:rPr>
          <w:color w:val="000000"/>
        </w:rPr>
        <w:lastRenderedPageBreak/>
        <w:t>Costion</w:t>
      </w:r>
      <w:proofErr w:type="spellEnd"/>
      <w:r w:rsidRPr="00644ED7">
        <w:rPr>
          <w:color w:val="000000"/>
        </w:rPr>
        <w:t xml:space="preserve"> C, Ford A, Cross H, </w:t>
      </w:r>
      <w:proofErr w:type="spellStart"/>
      <w:r w:rsidRPr="00644ED7">
        <w:rPr>
          <w:color w:val="000000"/>
        </w:rPr>
        <w:t>Crayn</w:t>
      </w:r>
      <w:proofErr w:type="spellEnd"/>
      <w:r w:rsidRPr="00644ED7">
        <w:rPr>
          <w:color w:val="000000"/>
        </w:rPr>
        <w:t xml:space="preserve"> D, Harrington M, Lowe A. 2011. Plant DNA barcodes can accurately estimate species richness in poorly known floras. PLOS ONE 6(11</w:t>
      </w:r>
      <w:proofErr w:type="gramStart"/>
      <w:r w:rsidRPr="00644ED7">
        <w:rPr>
          <w:color w:val="000000"/>
        </w:rPr>
        <w:t>):e</w:t>
      </w:r>
      <w:proofErr w:type="gramEnd"/>
      <w:r w:rsidRPr="00644ED7">
        <w:rPr>
          <w:color w:val="000000"/>
        </w:rPr>
        <w:t xml:space="preserve">26841 </w:t>
      </w:r>
      <w:r w:rsidRPr="00644ED7">
        <w:rPr>
          <w:color w:val="1292FB"/>
        </w:rPr>
        <w:t>DOI 10.1371/journal.pone.0026841</w:t>
      </w:r>
      <w:r w:rsidRPr="00644ED7">
        <w:rPr>
          <w:color w:val="000000"/>
        </w:rPr>
        <w:t xml:space="preserve">. </w:t>
      </w:r>
    </w:p>
    <w:p w14:paraId="266FDAAB" w14:textId="77777777" w:rsidR="00260B16" w:rsidRDefault="00260B16" w:rsidP="004B5674">
      <w:pPr>
        <w:jc w:val="both"/>
      </w:pPr>
    </w:p>
    <w:sectPr w:rsidR="00260B16" w:rsidSect="003D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17"/>
    <w:rsid w:val="00095548"/>
    <w:rsid w:val="000F5885"/>
    <w:rsid w:val="00107549"/>
    <w:rsid w:val="001801DA"/>
    <w:rsid w:val="00185BBC"/>
    <w:rsid w:val="001C4851"/>
    <w:rsid w:val="0021410D"/>
    <w:rsid w:val="00260B16"/>
    <w:rsid w:val="0028596E"/>
    <w:rsid w:val="002D463E"/>
    <w:rsid w:val="003202E2"/>
    <w:rsid w:val="0033692F"/>
    <w:rsid w:val="003B3D65"/>
    <w:rsid w:val="003D4801"/>
    <w:rsid w:val="003D62E0"/>
    <w:rsid w:val="00412CCF"/>
    <w:rsid w:val="00415AB7"/>
    <w:rsid w:val="00430417"/>
    <w:rsid w:val="004A0C65"/>
    <w:rsid w:val="004B5674"/>
    <w:rsid w:val="004E4470"/>
    <w:rsid w:val="004F60C2"/>
    <w:rsid w:val="00507792"/>
    <w:rsid w:val="00537AAC"/>
    <w:rsid w:val="0056240C"/>
    <w:rsid w:val="005D0229"/>
    <w:rsid w:val="005E5EC1"/>
    <w:rsid w:val="005F500E"/>
    <w:rsid w:val="00644ED7"/>
    <w:rsid w:val="00682334"/>
    <w:rsid w:val="006F4C55"/>
    <w:rsid w:val="007604D4"/>
    <w:rsid w:val="007E140E"/>
    <w:rsid w:val="007E751D"/>
    <w:rsid w:val="00833AC7"/>
    <w:rsid w:val="008D7277"/>
    <w:rsid w:val="0092094E"/>
    <w:rsid w:val="00A0405B"/>
    <w:rsid w:val="00A6766B"/>
    <w:rsid w:val="00A85FDE"/>
    <w:rsid w:val="00AA4EE7"/>
    <w:rsid w:val="00AC23E0"/>
    <w:rsid w:val="00B01772"/>
    <w:rsid w:val="00B21888"/>
    <w:rsid w:val="00B37D45"/>
    <w:rsid w:val="00BA6B58"/>
    <w:rsid w:val="00C1594A"/>
    <w:rsid w:val="00CE03CC"/>
    <w:rsid w:val="00CE44DD"/>
    <w:rsid w:val="00D17DBA"/>
    <w:rsid w:val="00D200E4"/>
    <w:rsid w:val="00D534F3"/>
    <w:rsid w:val="00D60CB8"/>
    <w:rsid w:val="00DC1748"/>
    <w:rsid w:val="00ED1300"/>
    <w:rsid w:val="00EE0365"/>
    <w:rsid w:val="00EF0C88"/>
    <w:rsid w:val="00F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2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67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4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German Santos Ordonez</dc:creator>
  <cp:keywords/>
  <dc:description/>
  <cp:lastModifiedBy>Microsoft Office User</cp:lastModifiedBy>
  <cp:revision>3</cp:revision>
  <dcterms:created xsi:type="dcterms:W3CDTF">2021-03-11T00:18:00Z</dcterms:created>
  <dcterms:modified xsi:type="dcterms:W3CDTF">2021-03-11T00:19:00Z</dcterms:modified>
</cp:coreProperties>
</file>