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C9" w:rsidRDefault="00146CC9" w:rsidP="00146CC9">
      <w:pPr>
        <w:ind w:left="338" w:right="575"/>
        <w:jc w:val="center"/>
        <w:rPr>
          <w:b/>
          <w:bCs/>
          <w:sz w:val="24"/>
          <w:szCs w:val="24"/>
        </w:rPr>
      </w:pPr>
      <w:r>
        <w:rPr>
          <w:b/>
          <w:bCs/>
          <w:sz w:val="24"/>
          <w:szCs w:val="24"/>
        </w:rPr>
        <w:t>Supplementary information</w:t>
      </w:r>
    </w:p>
    <w:p w:rsidR="00146CC9" w:rsidRDefault="00146CC9" w:rsidP="00146CC9">
      <w:pPr>
        <w:pStyle w:val="BodyText"/>
        <w:jc w:val="center"/>
      </w:pPr>
    </w:p>
    <w:p w:rsidR="00146CC9" w:rsidRDefault="00146CC9" w:rsidP="00146CC9">
      <w:pPr>
        <w:spacing w:line="364" w:lineRule="auto"/>
        <w:ind w:left="353" w:right="575"/>
        <w:jc w:val="center"/>
        <w:rPr>
          <w:sz w:val="24"/>
          <w:szCs w:val="24"/>
        </w:rPr>
      </w:pPr>
      <w:r>
        <w:rPr>
          <w:sz w:val="24"/>
          <w:szCs w:val="24"/>
        </w:rPr>
        <w:t>Downward trend in the indices of death rate in the Covid-19 pandemic: Evaluating alternative hypotheses</w:t>
      </w:r>
    </w:p>
    <w:p w:rsidR="00146CC9" w:rsidRDefault="00146CC9" w:rsidP="00146CC9">
      <w:pPr>
        <w:spacing w:before="199"/>
        <w:ind w:left="140"/>
        <w:rPr>
          <w:sz w:val="24"/>
          <w:szCs w:val="24"/>
        </w:rPr>
      </w:pPr>
      <w:hyperlink r:id="rId4">
        <w:r>
          <w:rPr>
            <w:sz w:val="24"/>
            <w:szCs w:val="24"/>
          </w:rPr>
          <w:t>Sonali Shinde</w:t>
        </w:r>
        <w:r>
          <w:rPr>
            <w:sz w:val="24"/>
            <w:szCs w:val="24"/>
            <w:vertAlign w:val="superscript"/>
          </w:rPr>
          <w:t>1</w:t>
        </w:r>
        <w:r>
          <w:rPr>
            <w:color w:val="1A71E8"/>
            <w:sz w:val="24"/>
            <w:szCs w:val="24"/>
            <w:u w:val="single" w:color="1A71E8"/>
          </w:rPr>
          <w:t>sonalisaccount@gmail.com</w:t>
        </w:r>
      </w:hyperlink>
    </w:p>
    <w:p w:rsidR="00146CC9" w:rsidRDefault="00146CC9" w:rsidP="00146CC9">
      <w:pPr>
        <w:pStyle w:val="BodyText"/>
      </w:pPr>
    </w:p>
    <w:p w:rsidR="00146CC9" w:rsidRDefault="00146CC9" w:rsidP="00146CC9">
      <w:pPr>
        <w:pStyle w:val="BodyText"/>
        <w:spacing w:before="94"/>
        <w:ind w:left="140"/>
      </w:pPr>
      <w:r>
        <w:rPr>
          <w:noProof/>
        </w:rPr>
        <w:pict>
          <v:line id="Lines 36" o:spid="_x0000_s1026" style="position:absolute;left:0;text-align:left;z-index:251660288;mso-position-horizontal-relative:page" from="151.85pt,17.45pt" to="155.2pt,17.45pt" o:gfxdata="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GmbPF1wAAAAkBAAAPAAAAAAAAAAEAIAAAACIAAABkcnMvZG93bnJl&#10;di54bWxQSwECFAAUAAAACACHTuJA/szyYMUBAACLAwAADgAAAAAAAAABACAAAAAmAQAAZHJzL2Uy&#10;b0RvYy54bWxQSwUGAAAAAAYABgBZAQAAXQUAAAAA&#10;" strokecolor="#1a71e8" strokeweight=".6pt">
            <w10:wrap anchorx="page"/>
          </v:line>
        </w:pict>
      </w:r>
      <w:proofErr w:type="spellStart"/>
      <w:r>
        <w:t>PratimaRanade</w:t>
      </w:r>
      <w:proofErr w:type="spellEnd"/>
      <w:r>
        <w:rPr>
          <w:position w:val="8"/>
        </w:rPr>
        <w:t>1</w:t>
      </w:r>
      <w:r>
        <w:rPr>
          <w:color w:val="1A71E8"/>
        </w:rPr>
        <w:t>p</w:t>
      </w:r>
      <w:hyperlink r:id="rId5">
        <w:r>
          <w:rPr>
            <w:color w:val="1A71E8"/>
            <w:u w:val="single" w:color="1A71E8"/>
          </w:rPr>
          <w:t>ratima532@gmail.com</w:t>
        </w:r>
      </w:hyperlink>
    </w:p>
    <w:p w:rsidR="00146CC9" w:rsidRDefault="00146CC9" w:rsidP="00146CC9">
      <w:pPr>
        <w:pStyle w:val="BodyText"/>
        <w:spacing w:before="3"/>
      </w:pPr>
    </w:p>
    <w:p w:rsidR="00146CC9" w:rsidRDefault="00146CC9" w:rsidP="00146CC9">
      <w:pPr>
        <w:pStyle w:val="BodyText"/>
        <w:spacing w:before="97"/>
        <w:ind w:left="140"/>
      </w:pPr>
      <w:proofErr w:type="spellStart"/>
      <w:r>
        <w:t>Milind</w:t>
      </w:r>
      <w:proofErr w:type="spellEnd"/>
      <w:r>
        <w:t xml:space="preserve"> Watve</w:t>
      </w:r>
      <w:r>
        <w:rPr>
          <w:vertAlign w:val="superscript"/>
        </w:rPr>
        <w:t>2*</w:t>
      </w:r>
      <w:hyperlink r:id="rId6">
        <w:r>
          <w:rPr>
            <w:color w:val="1A71E8"/>
            <w:u w:val="single" w:color="1A71E8"/>
          </w:rPr>
          <w:t>milind.watve@gmail.com</w:t>
        </w:r>
      </w:hyperlink>
    </w:p>
    <w:p w:rsidR="00146CC9" w:rsidRDefault="00146CC9" w:rsidP="00146CC9">
      <w:pPr>
        <w:pStyle w:val="BodyText"/>
      </w:pPr>
    </w:p>
    <w:p w:rsidR="00146CC9" w:rsidRDefault="00146CC9" w:rsidP="00146CC9">
      <w:pPr>
        <w:pStyle w:val="BodyText"/>
      </w:pPr>
    </w:p>
    <w:p w:rsidR="00146CC9" w:rsidRDefault="00146CC9" w:rsidP="00146CC9">
      <w:pPr>
        <w:pStyle w:val="BodyText"/>
      </w:pPr>
    </w:p>
    <w:p w:rsidR="00146CC9" w:rsidRDefault="00146CC9" w:rsidP="00146CC9">
      <w:pPr>
        <w:ind w:left="101"/>
        <w:rPr>
          <w:b/>
          <w:sz w:val="24"/>
          <w:szCs w:val="24"/>
        </w:rPr>
      </w:pPr>
      <w:r>
        <w:rPr>
          <w:b/>
          <w:sz w:val="24"/>
          <w:szCs w:val="24"/>
        </w:rPr>
        <w:t>S1: The indices used to reflect death</w:t>
      </w:r>
      <w:r w:rsidR="0046128D">
        <w:rPr>
          <w:b/>
          <w:sz w:val="24"/>
          <w:szCs w:val="24"/>
        </w:rPr>
        <w:t xml:space="preserve"> </w:t>
      </w:r>
      <w:r>
        <w:rPr>
          <w:b/>
          <w:sz w:val="24"/>
          <w:szCs w:val="24"/>
        </w:rPr>
        <w:t>rate:</w:t>
      </w:r>
    </w:p>
    <w:p w:rsidR="00146CC9" w:rsidRDefault="00146CC9" w:rsidP="00146CC9">
      <w:pPr>
        <w:pStyle w:val="BodyText"/>
        <w:spacing w:before="2"/>
      </w:pPr>
    </w:p>
    <w:p w:rsidR="00146CC9" w:rsidRDefault="00146CC9" w:rsidP="0046128D">
      <w:pPr>
        <w:spacing w:line="364" w:lineRule="auto"/>
        <w:ind w:left="101" w:right="305"/>
        <w:jc w:val="both"/>
        <w:rPr>
          <w:sz w:val="24"/>
          <w:szCs w:val="24"/>
        </w:rPr>
      </w:pPr>
      <w:r>
        <w:rPr>
          <w:sz w:val="24"/>
          <w:szCs w:val="24"/>
        </w:rPr>
        <w:t xml:space="preserve">We use two indices to reflect death rate in this paper. They are needed since cumulative CFR is not sufficiently sensitive to time trend and is disproportionately influenced by the time period with maximum incidence. Therefore we use two indices namely the ratio of daily new deaths and daily new registered cases (ND/NC) and daily new deaths and new recoveries (ND/NR). Being calculated on a daily basis they have sufficient time resolution as compared to CFR and being divided by the current incidence, they represent the time trend more faithfully than the cumulative CFR. The main limitation of these ratios is because of the time lag between the day of diagnosis and the day of death or recovery. In a growing epidemic the number of new cases is likely to have increased during this lag making ND/NC an underestimate of true death rate.  But for the same reason ND/NR can be an overestimate of the death rate. Therefore, if there </w:t>
      </w:r>
      <w:proofErr w:type="gramStart"/>
      <w:r>
        <w:rPr>
          <w:sz w:val="24"/>
          <w:szCs w:val="24"/>
        </w:rPr>
        <w:t>are</w:t>
      </w:r>
      <w:proofErr w:type="gramEnd"/>
      <w:r>
        <w:rPr>
          <w:sz w:val="24"/>
          <w:szCs w:val="24"/>
        </w:rPr>
        <w:t xml:space="preserve"> no other sources of biases, the true death rate can be captured between the two ratios quite reliably. When the rate of transmission (</w:t>
      </w:r>
      <w:proofErr w:type="spellStart"/>
      <w:proofErr w:type="gramStart"/>
      <w:r>
        <w:rPr>
          <w:sz w:val="24"/>
          <w:szCs w:val="24"/>
        </w:rPr>
        <w:t>Rt</w:t>
      </w:r>
      <w:proofErr w:type="spellEnd"/>
      <w:proofErr w:type="gramEnd"/>
      <w:r>
        <w:rPr>
          <w:sz w:val="24"/>
          <w:szCs w:val="24"/>
        </w:rPr>
        <w:t xml:space="preserve">) in the population at a given time is constant, ND/NC is a consistent underestimate and ND/NR a consistent overestimate. However, if and when </w:t>
      </w:r>
      <w:proofErr w:type="spellStart"/>
      <w:proofErr w:type="gramStart"/>
      <w:r>
        <w:rPr>
          <w:sz w:val="24"/>
          <w:szCs w:val="24"/>
        </w:rPr>
        <w:t>Rt</w:t>
      </w:r>
      <w:proofErr w:type="spellEnd"/>
      <w:proofErr w:type="gramEnd"/>
      <w:r>
        <w:rPr>
          <w:sz w:val="24"/>
          <w:szCs w:val="24"/>
        </w:rPr>
        <w:t xml:space="preserve"> increases, ND/NC will tend to decrease and ND/NR tend to increase. On the other hand, if </w:t>
      </w:r>
      <w:proofErr w:type="spellStart"/>
      <w:proofErr w:type="gramStart"/>
      <w:r>
        <w:rPr>
          <w:sz w:val="24"/>
          <w:szCs w:val="24"/>
        </w:rPr>
        <w:t>Rt</w:t>
      </w:r>
      <w:proofErr w:type="spellEnd"/>
      <w:proofErr w:type="gramEnd"/>
      <w:r>
        <w:rPr>
          <w:sz w:val="24"/>
          <w:szCs w:val="24"/>
        </w:rPr>
        <w:t xml:space="preserve"> is decreasing, ND/NC will tend to increase but ND/NR may decrease. If both the ratios are changing in the same direction, it’s a robust indication of a change in death rate irrespective of</w:t>
      </w:r>
      <w:r w:rsidR="0046128D">
        <w:rPr>
          <w:sz w:val="24"/>
          <w:szCs w:val="24"/>
        </w:rPr>
        <w:t xml:space="preserve"> </w:t>
      </w:r>
      <w:r>
        <w:rPr>
          <w:sz w:val="24"/>
          <w:szCs w:val="24"/>
        </w:rPr>
        <w:t>Rt.</w:t>
      </w:r>
    </w:p>
    <w:p w:rsidR="00146CC9" w:rsidRDefault="0046128D" w:rsidP="00146CC9">
      <w:pPr>
        <w:spacing w:before="197" w:line="362" w:lineRule="auto"/>
        <w:ind w:left="101" w:right="313"/>
        <w:jc w:val="both"/>
        <w:rPr>
          <w:sz w:val="24"/>
          <w:szCs w:val="24"/>
        </w:rPr>
      </w:pPr>
      <w:r>
        <w:rPr>
          <w:sz w:val="24"/>
          <w:szCs w:val="24"/>
        </w:rPr>
        <w:t>We demonstrate the behavio</w:t>
      </w:r>
      <w:r w:rsidR="00146CC9">
        <w:rPr>
          <w:sz w:val="24"/>
          <w:szCs w:val="24"/>
        </w:rPr>
        <w:t xml:space="preserve">r of these indices in a simulated epidemic. In a simpler model, the </w:t>
      </w:r>
      <w:r w:rsidR="00146CC9">
        <w:rPr>
          <w:position w:val="2"/>
          <w:sz w:val="24"/>
          <w:szCs w:val="24"/>
        </w:rPr>
        <w:t>incidence grows exponentially, but the deaths and recovery happen with a time lags t</w:t>
      </w:r>
      <w:r w:rsidR="00146CC9">
        <w:rPr>
          <w:position w:val="2"/>
          <w:sz w:val="24"/>
          <w:szCs w:val="24"/>
          <w:vertAlign w:val="subscript"/>
        </w:rPr>
        <w:t>d</w:t>
      </w:r>
      <w:r w:rsidR="00146CC9">
        <w:rPr>
          <w:position w:val="2"/>
          <w:sz w:val="24"/>
          <w:szCs w:val="24"/>
        </w:rPr>
        <w:t xml:space="preserve"> </w:t>
      </w:r>
      <w:r w:rsidR="00146CC9">
        <w:rPr>
          <w:position w:val="2"/>
          <w:sz w:val="24"/>
          <w:szCs w:val="24"/>
        </w:rPr>
        <w:lastRenderedPageBreak/>
        <w:t xml:space="preserve">and </w:t>
      </w:r>
      <w:proofErr w:type="spellStart"/>
      <w:proofErr w:type="gramStart"/>
      <w:r w:rsidR="00146CC9">
        <w:rPr>
          <w:position w:val="2"/>
          <w:sz w:val="24"/>
          <w:szCs w:val="24"/>
        </w:rPr>
        <w:t>t</w:t>
      </w:r>
      <w:r w:rsidR="00146CC9">
        <w:rPr>
          <w:position w:val="2"/>
          <w:sz w:val="24"/>
          <w:szCs w:val="24"/>
          <w:vertAlign w:val="subscript"/>
        </w:rPr>
        <w:t>r</w:t>
      </w:r>
      <w:proofErr w:type="spellEnd"/>
      <w:proofErr w:type="gramEnd"/>
      <w:r w:rsidR="00146CC9">
        <w:rPr>
          <w:position w:val="2"/>
          <w:sz w:val="24"/>
          <w:szCs w:val="24"/>
          <w:vertAlign w:val="subscript"/>
        </w:rPr>
        <w:t xml:space="preserve"> </w:t>
      </w:r>
      <w:r w:rsidR="00146CC9">
        <w:rPr>
          <w:sz w:val="24"/>
          <w:szCs w:val="24"/>
        </w:rPr>
        <w:t xml:space="preserve">respectively. The model assumes that the rate of spread of infection is limited by the number of infectious individuals and susceptible individuals are not limiting. Such condition can be assumed at the beginning of the epidemic, until a substantial proportion of the population </w:t>
      </w:r>
      <w:r w:rsidR="00146CC9">
        <w:rPr>
          <w:position w:val="2"/>
          <w:sz w:val="24"/>
          <w:szCs w:val="24"/>
        </w:rPr>
        <w:t xml:space="preserve">become immune. </w:t>
      </w:r>
      <w:proofErr w:type="gramStart"/>
      <w:r w:rsidR="00146CC9">
        <w:rPr>
          <w:position w:val="2"/>
          <w:sz w:val="24"/>
          <w:szCs w:val="24"/>
        </w:rPr>
        <w:t>A proportion of infected individuals (d) die</w:t>
      </w:r>
      <w:proofErr w:type="gramEnd"/>
      <w:r w:rsidR="00146CC9">
        <w:rPr>
          <w:position w:val="2"/>
          <w:sz w:val="24"/>
          <w:szCs w:val="24"/>
        </w:rPr>
        <w:t xml:space="preserve"> after a time lag of td or recover after a time lag t</w:t>
      </w:r>
      <w:r w:rsidR="00146CC9">
        <w:rPr>
          <w:position w:val="2"/>
          <w:sz w:val="24"/>
          <w:szCs w:val="24"/>
          <w:vertAlign w:val="subscript"/>
        </w:rPr>
        <w:t xml:space="preserve">r. </w:t>
      </w:r>
      <w:r w:rsidR="00146CC9">
        <w:rPr>
          <w:position w:val="2"/>
          <w:sz w:val="24"/>
          <w:szCs w:val="24"/>
        </w:rPr>
        <w:t>Therefore</w:t>
      </w:r>
    </w:p>
    <w:p w:rsidR="00146CC9" w:rsidRDefault="00146CC9" w:rsidP="00146CC9">
      <w:pPr>
        <w:spacing w:before="180"/>
        <w:ind w:left="101"/>
        <w:jc w:val="both"/>
        <w:rPr>
          <w:sz w:val="24"/>
          <w:szCs w:val="24"/>
        </w:rPr>
      </w:pPr>
      <w:proofErr w:type="gramStart"/>
      <w:r>
        <w:rPr>
          <w:sz w:val="24"/>
          <w:szCs w:val="24"/>
        </w:rPr>
        <w:t>NC(</w:t>
      </w:r>
      <w:proofErr w:type="gramEnd"/>
      <w:r>
        <w:rPr>
          <w:sz w:val="24"/>
          <w:szCs w:val="24"/>
        </w:rPr>
        <w:t>t) =</w:t>
      </w:r>
      <w:proofErr w:type="spellStart"/>
      <w:r>
        <w:rPr>
          <w:sz w:val="24"/>
          <w:szCs w:val="24"/>
        </w:rPr>
        <w:t>R</w:t>
      </w:r>
      <w:r w:rsidR="006879AF">
        <w:rPr>
          <w:sz w:val="24"/>
          <w:szCs w:val="24"/>
          <w:vertAlign w:val="subscript"/>
        </w:rPr>
        <w:t>t</w:t>
      </w:r>
      <w:r>
        <w:rPr>
          <w:sz w:val="24"/>
          <w:szCs w:val="24"/>
        </w:rPr>
        <w:t>.I</w:t>
      </w:r>
      <w:proofErr w:type="spellEnd"/>
      <w:r>
        <w:rPr>
          <w:sz w:val="24"/>
          <w:szCs w:val="24"/>
        </w:rPr>
        <w:t>(t-1)</w:t>
      </w:r>
    </w:p>
    <w:p w:rsidR="00146CC9" w:rsidRDefault="00146CC9" w:rsidP="00146CC9">
      <w:pPr>
        <w:pStyle w:val="BodyText"/>
        <w:spacing w:before="1"/>
        <w:jc w:val="both"/>
      </w:pPr>
    </w:p>
    <w:p w:rsidR="00146CC9" w:rsidRDefault="00146CC9" w:rsidP="00146CC9">
      <w:pPr>
        <w:ind w:left="101"/>
        <w:jc w:val="both"/>
        <w:rPr>
          <w:sz w:val="24"/>
          <w:szCs w:val="24"/>
        </w:rPr>
      </w:pPr>
      <w:proofErr w:type="gramStart"/>
      <w:r>
        <w:rPr>
          <w:position w:val="2"/>
          <w:sz w:val="24"/>
          <w:szCs w:val="24"/>
        </w:rPr>
        <w:t>ND(</w:t>
      </w:r>
      <w:proofErr w:type="gramEnd"/>
      <w:r>
        <w:rPr>
          <w:position w:val="2"/>
          <w:sz w:val="24"/>
          <w:szCs w:val="24"/>
        </w:rPr>
        <w:t>t) =</w:t>
      </w:r>
      <w:proofErr w:type="spellStart"/>
      <w:r>
        <w:rPr>
          <w:position w:val="2"/>
          <w:sz w:val="24"/>
          <w:szCs w:val="24"/>
        </w:rPr>
        <w:t>d.I</w:t>
      </w:r>
      <w:proofErr w:type="spellEnd"/>
      <w:r>
        <w:rPr>
          <w:position w:val="2"/>
          <w:sz w:val="24"/>
          <w:szCs w:val="24"/>
        </w:rPr>
        <w:t>(t-t</w:t>
      </w:r>
      <w:r>
        <w:rPr>
          <w:position w:val="2"/>
          <w:sz w:val="24"/>
          <w:szCs w:val="24"/>
          <w:vertAlign w:val="subscript"/>
        </w:rPr>
        <w:t>d</w:t>
      </w:r>
      <w:r>
        <w:rPr>
          <w:position w:val="2"/>
          <w:sz w:val="24"/>
          <w:szCs w:val="24"/>
        </w:rPr>
        <w:t>)</w:t>
      </w:r>
    </w:p>
    <w:p w:rsidR="00146CC9" w:rsidRDefault="00146CC9" w:rsidP="00146CC9">
      <w:pPr>
        <w:pStyle w:val="BodyText"/>
        <w:jc w:val="both"/>
      </w:pPr>
    </w:p>
    <w:p w:rsidR="00146CC9" w:rsidRDefault="00146CC9" w:rsidP="00146CC9">
      <w:pPr>
        <w:ind w:left="101"/>
        <w:jc w:val="both"/>
        <w:rPr>
          <w:sz w:val="24"/>
          <w:szCs w:val="24"/>
        </w:rPr>
      </w:pPr>
      <w:r>
        <w:rPr>
          <w:position w:val="2"/>
          <w:sz w:val="24"/>
          <w:szCs w:val="24"/>
        </w:rPr>
        <w:t xml:space="preserve">NR (t) = </w:t>
      </w:r>
      <w:proofErr w:type="gramStart"/>
      <w:r>
        <w:rPr>
          <w:position w:val="2"/>
          <w:sz w:val="24"/>
          <w:szCs w:val="24"/>
        </w:rPr>
        <w:t>NC(</w:t>
      </w:r>
      <w:proofErr w:type="gramEnd"/>
      <w:r>
        <w:rPr>
          <w:position w:val="2"/>
          <w:sz w:val="24"/>
          <w:szCs w:val="24"/>
        </w:rPr>
        <w:t>t-</w:t>
      </w:r>
      <w:proofErr w:type="spellStart"/>
      <w:r>
        <w:rPr>
          <w:position w:val="2"/>
          <w:sz w:val="24"/>
          <w:szCs w:val="24"/>
        </w:rPr>
        <w:t>t</w:t>
      </w:r>
      <w:r>
        <w:rPr>
          <w:position w:val="2"/>
          <w:sz w:val="24"/>
          <w:szCs w:val="24"/>
          <w:vertAlign w:val="subscript"/>
        </w:rPr>
        <w:t>r</w:t>
      </w:r>
      <w:proofErr w:type="spellEnd"/>
      <w:r>
        <w:rPr>
          <w:position w:val="2"/>
          <w:sz w:val="24"/>
          <w:szCs w:val="24"/>
        </w:rPr>
        <w:t>) – ND(</w:t>
      </w:r>
      <w:proofErr w:type="spellStart"/>
      <w:r>
        <w:rPr>
          <w:position w:val="2"/>
          <w:sz w:val="24"/>
          <w:szCs w:val="24"/>
        </w:rPr>
        <w:t>t</w:t>
      </w:r>
      <w:r>
        <w:rPr>
          <w:position w:val="2"/>
          <w:sz w:val="24"/>
          <w:szCs w:val="24"/>
          <w:vertAlign w:val="subscript"/>
        </w:rPr>
        <w:t>r</w:t>
      </w:r>
      <w:proofErr w:type="spellEnd"/>
      <w:r>
        <w:rPr>
          <w:position w:val="2"/>
          <w:sz w:val="24"/>
          <w:szCs w:val="24"/>
        </w:rPr>
        <w:t>-t</w:t>
      </w:r>
      <w:r>
        <w:rPr>
          <w:position w:val="2"/>
          <w:sz w:val="24"/>
          <w:szCs w:val="24"/>
          <w:vertAlign w:val="subscript"/>
        </w:rPr>
        <w:t>d</w:t>
      </w:r>
      <w:r>
        <w:rPr>
          <w:position w:val="2"/>
          <w:sz w:val="24"/>
          <w:szCs w:val="24"/>
        </w:rPr>
        <w:t>)</w:t>
      </w:r>
    </w:p>
    <w:p w:rsidR="00146CC9" w:rsidRDefault="00146CC9" w:rsidP="00146CC9">
      <w:pPr>
        <w:pStyle w:val="BodyText"/>
        <w:spacing w:before="4"/>
        <w:jc w:val="both"/>
      </w:pPr>
    </w:p>
    <w:p w:rsidR="00146CC9" w:rsidRDefault="00146CC9" w:rsidP="00146CC9">
      <w:pPr>
        <w:ind w:left="101"/>
        <w:jc w:val="both"/>
        <w:rPr>
          <w:sz w:val="24"/>
          <w:szCs w:val="24"/>
        </w:rPr>
      </w:pPr>
      <w:proofErr w:type="gramStart"/>
      <w:r>
        <w:rPr>
          <w:sz w:val="24"/>
          <w:szCs w:val="24"/>
        </w:rPr>
        <w:t>I(</w:t>
      </w:r>
      <w:proofErr w:type="gramEnd"/>
      <w:r>
        <w:rPr>
          <w:sz w:val="24"/>
          <w:szCs w:val="24"/>
        </w:rPr>
        <w:t>t) = I(t-1) + NI(t) – ND(t) – NR(t)</w:t>
      </w:r>
    </w:p>
    <w:p w:rsidR="00146CC9" w:rsidRDefault="00146CC9" w:rsidP="00146CC9">
      <w:pPr>
        <w:pStyle w:val="BodyText"/>
        <w:spacing w:before="11"/>
        <w:jc w:val="both"/>
      </w:pPr>
    </w:p>
    <w:p w:rsidR="00146CC9" w:rsidRDefault="00146CC9" w:rsidP="00146CC9">
      <w:pPr>
        <w:spacing w:line="364" w:lineRule="auto"/>
        <w:ind w:left="101" w:right="316"/>
        <w:jc w:val="both"/>
        <w:rPr>
          <w:sz w:val="24"/>
          <w:szCs w:val="24"/>
        </w:rPr>
      </w:pPr>
      <w:r>
        <w:rPr>
          <w:sz w:val="24"/>
          <w:szCs w:val="24"/>
        </w:rPr>
        <w:t>In this model, it can be seen that as long as R and d are constant, both the ratios ND/NC and ND/NR remain constant (fig S1 a). If R increases, ND/NC decreases but ND/NR increases and both stabilize at a new value. If R decreases, both change in the reverse direction (fig S1b). On the other hand if R remains constant but d decreases, both ND/NC and ND/NR decrease (fig</w:t>
      </w:r>
      <w:r>
        <w:rPr>
          <w:spacing w:val="51"/>
          <w:sz w:val="24"/>
          <w:szCs w:val="24"/>
        </w:rPr>
        <w:t xml:space="preserve"> S</w:t>
      </w:r>
      <w:r>
        <w:rPr>
          <w:sz w:val="24"/>
          <w:szCs w:val="24"/>
        </w:rPr>
        <w:t>1c).</w:t>
      </w:r>
    </w:p>
    <w:p w:rsidR="00146CC9" w:rsidRDefault="00146CC9" w:rsidP="00146CC9">
      <w:pPr>
        <w:pStyle w:val="BodyText"/>
        <w:spacing w:before="9"/>
        <w:jc w:val="both"/>
      </w:pPr>
      <w:bookmarkStart w:id="0" w:name="(A)"/>
      <w:bookmarkEnd w:id="0"/>
      <w:r>
        <w:rPr>
          <w:noProof/>
        </w:rPr>
        <w:drawing>
          <wp:inline distT="0" distB="0" distL="0" distR="0">
            <wp:extent cx="6076950" cy="3613150"/>
            <wp:effectExtent l="19050" t="0" r="0" b="0"/>
            <wp:docPr id="2" name="Picture 1" descr="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jpg"/>
                    <pic:cNvPicPr/>
                  </pic:nvPicPr>
                  <pic:blipFill>
                    <a:blip r:embed="rId7"/>
                    <a:stretch>
                      <a:fillRect/>
                    </a:stretch>
                  </pic:blipFill>
                  <pic:spPr>
                    <a:xfrm>
                      <a:off x="0" y="0"/>
                      <a:ext cx="6076950" cy="3613150"/>
                    </a:xfrm>
                    <a:prstGeom prst="rect">
                      <a:avLst/>
                    </a:prstGeom>
                  </pic:spPr>
                </pic:pic>
              </a:graphicData>
            </a:graphic>
          </wp:inline>
        </w:drawing>
      </w:r>
    </w:p>
    <w:p w:rsidR="00053614" w:rsidRDefault="00053614"/>
    <w:sectPr w:rsidR="00053614" w:rsidSect="00BE460A">
      <w:pgSz w:w="11910" w:h="16840"/>
      <w:pgMar w:top="1600" w:right="1040" w:bottom="820" w:left="1300" w:header="0" w:footer="639" w:gutter="0"/>
      <w:lnNumType w:countBy="1" w:restart="continuou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46CC9"/>
    <w:rsid w:val="00053614"/>
    <w:rsid w:val="00146CC9"/>
    <w:rsid w:val="0046128D"/>
    <w:rsid w:val="006879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6CC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46CC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146CC9"/>
  </w:style>
  <w:style w:type="paragraph" w:styleId="BalloonText">
    <w:name w:val="Balloon Text"/>
    <w:basedOn w:val="Normal"/>
    <w:link w:val="BalloonTextChar"/>
    <w:uiPriority w:val="99"/>
    <w:semiHidden/>
    <w:unhideWhenUsed/>
    <w:rsid w:val="0014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nd.watve@gmail.com" TargetMode="External"/><Relationship Id="rId5" Type="http://schemas.openxmlformats.org/officeDocument/2006/relationships/hyperlink" Target="mailto:ratima532@gmail.com" TargetMode="External"/><Relationship Id="rId4" Type="http://schemas.openxmlformats.org/officeDocument/2006/relationships/hyperlink" Target="mailto:Shinde1sonalisaccount@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2020-12-03T06:41:00Z</dcterms:created>
  <dcterms:modified xsi:type="dcterms:W3CDTF">2020-12-03T07:12:00Z</dcterms:modified>
</cp:coreProperties>
</file>