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5D" w:rsidRPr="00610E5D" w:rsidRDefault="00610E5D">
      <w:pPr>
        <w:spacing w:after="62"/>
      </w:pPr>
      <w:r w:rsidRPr="00610E5D">
        <w:t>Table S1 Heading date, average daily temperature during 15 days after heading(T15)</w:t>
      </w:r>
      <w:r>
        <w:t>,</w:t>
      </w:r>
      <w:r w:rsidRPr="00610E5D">
        <w:t xml:space="preserve"> average daily relative humidity during 15 days after heading (RH15)</w:t>
      </w:r>
      <w:r>
        <w:t xml:space="preserve">, </w:t>
      </w:r>
      <w:r w:rsidR="00B04535">
        <w:t xml:space="preserve">grain weight, head rice rate and </w:t>
      </w:r>
      <w:r>
        <w:t>chalkiness</w:t>
      </w:r>
      <w:r w:rsidRPr="00610E5D">
        <w:t xml:space="preserve"> of each cultivar</w:t>
      </w:r>
      <w:r w:rsidR="00B04535">
        <w:t xml:space="preserve"> in </w:t>
      </w:r>
      <w:r w:rsidR="00B04535" w:rsidRPr="00B04535">
        <w:t>field trial</w:t>
      </w:r>
      <w:r w:rsidR="00B04535">
        <w:t xml:space="preserve"> in 2016.</w:t>
      </w:r>
    </w:p>
    <w:p w:rsidR="00610E5D" w:rsidRDefault="00610E5D">
      <w:pPr>
        <w:spacing w:after="62"/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023"/>
        <w:gridCol w:w="788"/>
        <w:gridCol w:w="967"/>
        <w:gridCol w:w="1267"/>
        <w:gridCol w:w="973"/>
        <w:gridCol w:w="1503"/>
        <w:gridCol w:w="1701"/>
        <w:gridCol w:w="1559"/>
      </w:tblGrid>
      <w:tr w:rsidR="00610E5D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610E5D" w:rsidRDefault="00610E5D" w:rsidP="00610E5D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Cultivars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610E5D" w:rsidRDefault="00610E5D" w:rsidP="00610E5D">
            <w:pPr>
              <w:widowControl/>
              <w:spacing w:afterLines="0" w:after="0"/>
              <w:jc w:val="center"/>
              <w:rPr>
                <w:rFonts w:eastAsia="等线"/>
                <w:sz w:val="21"/>
                <w:szCs w:val="21"/>
              </w:rPr>
            </w:pPr>
            <w:r w:rsidRPr="00610E5D">
              <w:rPr>
                <w:rFonts w:eastAsia="等线"/>
                <w:sz w:val="21"/>
                <w:szCs w:val="21"/>
              </w:rPr>
              <w:t>Phases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610E5D" w:rsidRDefault="00610E5D" w:rsidP="00610E5D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 xml:space="preserve">Heading date </w:t>
            </w:r>
            <w:r>
              <w:rPr>
                <w:rFonts w:eastAsia="等线"/>
                <w:color w:val="000000"/>
                <w:sz w:val="22"/>
                <w:szCs w:val="22"/>
              </w:rPr>
              <w:t>(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>d</w:t>
            </w:r>
            <w:r w:rsidR="00B04535">
              <w:rPr>
                <w:rFonts w:eastAsia="等线"/>
                <w:color w:val="000000"/>
                <w:sz w:val="22"/>
                <w:szCs w:val="22"/>
              </w:rPr>
              <w:t>-m</w:t>
            </w:r>
            <w:r>
              <w:rPr>
                <w:rFonts w:eastAsia="等线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610E5D" w:rsidRDefault="00610E5D" w:rsidP="00610E5D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t>T15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 xml:space="preserve"> (°C</w:t>
            </w:r>
            <w:r>
              <w:rPr>
                <w:rFonts w:eastAsia="等线"/>
                <w:color w:val="000000"/>
                <w:sz w:val="22"/>
                <w:szCs w:val="22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610E5D" w:rsidRDefault="00610E5D" w:rsidP="00610E5D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t>RH15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等线"/>
                <w:color w:val="000000"/>
                <w:sz w:val="22"/>
                <w:szCs w:val="22"/>
              </w:rPr>
              <w:t>(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>%</w:t>
            </w:r>
            <w:r>
              <w:rPr>
                <w:rFonts w:eastAsia="等线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DE2E29" w:rsidRDefault="00610E5D" w:rsidP="00610E5D">
            <w:pPr>
              <w:spacing w:after="62"/>
              <w:jc w:val="center"/>
            </w:pPr>
            <w:r w:rsidRPr="00DE2E29">
              <w:t xml:space="preserve">Grain weight </w:t>
            </w:r>
            <w:r>
              <w:t>(</w:t>
            </w:r>
            <w:r w:rsidRPr="00DE2E29">
              <w:t>g pre 1000 grains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DE2E29" w:rsidRDefault="00610E5D" w:rsidP="00610E5D">
            <w:pPr>
              <w:spacing w:after="62"/>
              <w:jc w:val="center"/>
            </w:pPr>
            <w:r w:rsidRPr="00DE2E29">
              <w:t xml:space="preserve">Head rice rate </w:t>
            </w:r>
            <w:r>
              <w:rPr>
                <w:rFonts w:eastAsia="等线"/>
                <w:color w:val="000000"/>
                <w:sz w:val="22"/>
                <w:szCs w:val="22"/>
              </w:rPr>
              <w:t>(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>%</w:t>
            </w:r>
            <w:r>
              <w:rPr>
                <w:rFonts w:eastAsia="等线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E5D" w:rsidRPr="00DE2E29" w:rsidRDefault="00610E5D" w:rsidP="00610E5D">
            <w:pPr>
              <w:spacing w:after="62"/>
              <w:jc w:val="center"/>
            </w:pPr>
            <w:r w:rsidRPr="00DE2E29">
              <w:t>Chalkiness</w:t>
            </w:r>
            <w:r w:rsidR="005D4751">
              <w:t xml:space="preserve"> </w:t>
            </w:r>
            <w:r w:rsidR="005D4751">
              <w:rPr>
                <w:rFonts w:hint="eastAsia"/>
              </w:rPr>
              <w:t>degree</w:t>
            </w:r>
            <w:bookmarkStart w:id="0" w:name="_GoBack"/>
            <w:bookmarkEnd w:id="0"/>
            <w:r w:rsidRPr="00DE2E29">
              <w:t xml:space="preserve"> </w:t>
            </w:r>
            <w:r>
              <w:rPr>
                <w:rFonts w:eastAsia="等线"/>
                <w:color w:val="000000"/>
                <w:sz w:val="22"/>
                <w:szCs w:val="22"/>
              </w:rPr>
              <w:t>(</w:t>
            </w:r>
            <w:r w:rsidRPr="00610E5D">
              <w:rPr>
                <w:rFonts w:eastAsia="等线"/>
                <w:color w:val="000000"/>
                <w:sz w:val="22"/>
                <w:szCs w:val="22"/>
              </w:rPr>
              <w:t>%</w:t>
            </w:r>
            <w:r>
              <w:rPr>
                <w:rFonts w:eastAsia="等线"/>
                <w:color w:val="000000"/>
                <w:sz w:val="22"/>
                <w:szCs w:val="22"/>
              </w:rPr>
              <w:t>)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15-Jul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31.22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75.98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21.21±0.13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39.60±3.12 ab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17.65±0.35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22-Jul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31.10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76.31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22.36±0.66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30.97±5.77 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20.32±3.16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LY27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29.13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82.23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24.61±0.01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49.20±6.18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7.70±2.36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8-Jul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29.43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80.68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23.98±0.52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58.27±4.07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8.82±0.93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13-Jul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31.17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76.37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22.77±0.59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53.02±2.13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21.38±8.76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LY6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18-Jul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30.96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75.79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24.29±0.24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56.68±2.44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8.90±1.87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ZLY47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28.90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83.63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25.38±0.46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59.15±2.42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15.56±4.36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ZLY47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18-Jul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30.96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75.79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24.20±0.29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52.08±1.81 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30.25±2.90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R168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20-Jun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27.23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84.10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23.93±0.37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64.83±0.16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4.73±1.41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R168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30-Jun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28.29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23.53±0.21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64.03±1.07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5.08±0.94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R168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11-Jul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30.61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76.98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23.80±0.01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64.16±0.94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9.52±3.29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IR64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30-Jul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29.08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83.27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25.37±1.43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63.91±0.70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10.25±2.07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IR64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12-Aug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28.59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85.31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24.74±0.29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61.38±1.30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9.13±1.99 b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IR64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5-Aug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28.69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84.95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25.35±1.27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62.02±0.02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14.73±1.75 a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16343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1-Aug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29.08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83.78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20.94±0.30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59.70±2.89 ab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18.42±8.24 c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16343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7-Aug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28.46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85.81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21.24±0.38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63.74±1.06 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8.27±2.85 d</w:t>
            </w:r>
          </w:p>
        </w:tc>
      </w:tr>
      <w:tr w:rsidR="00B04535" w:rsidRPr="00610E5D" w:rsidTr="00610E5D">
        <w:trPr>
          <w:trHeight w:val="303"/>
          <w:jc w:val="center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16343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Default="00B04535" w:rsidP="00B04535">
            <w:pPr>
              <w:spacing w:after="62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23-Jul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31.02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535" w:rsidRPr="00610E5D" w:rsidRDefault="00B04535" w:rsidP="00B04535">
            <w:pPr>
              <w:widowControl/>
              <w:spacing w:afterLines="0" w:after="0"/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610E5D">
              <w:rPr>
                <w:rFonts w:eastAsia="等线"/>
                <w:color w:val="000000"/>
                <w:sz w:val="22"/>
                <w:szCs w:val="22"/>
              </w:rPr>
              <w:t>76.97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19.52±0.38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4535" w:rsidRPr="00DE2E29" w:rsidRDefault="00B04535" w:rsidP="00B04535">
            <w:pPr>
              <w:spacing w:after="62"/>
            </w:pPr>
            <w:r w:rsidRPr="00DE2E29">
              <w:t>55.37±4.24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4535" w:rsidRDefault="00B04535" w:rsidP="00B04535">
            <w:pPr>
              <w:spacing w:after="62"/>
            </w:pPr>
            <w:r w:rsidRPr="00DE2E29">
              <w:t>35.63±2.61 a</w:t>
            </w:r>
          </w:p>
        </w:tc>
      </w:tr>
    </w:tbl>
    <w:p w:rsidR="00610E5D" w:rsidRDefault="00610E5D">
      <w:pPr>
        <w:spacing w:after="62"/>
      </w:pPr>
    </w:p>
    <w:sectPr w:rsidR="00610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FD" w:rsidRDefault="006E72FD" w:rsidP="005D4751">
      <w:pPr>
        <w:spacing w:after="48"/>
      </w:pPr>
      <w:r>
        <w:separator/>
      </w:r>
    </w:p>
  </w:endnote>
  <w:endnote w:type="continuationSeparator" w:id="0">
    <w:p w:rsidR="006E72FD" w:rsidRDefault="006E72FD" w:rsidP="005D4751">
      <w:pPr>
        <w:spacing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5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5"/>
      <w:spacing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5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FD" w:rsidRDefault="006E72FD" w:rsidP="005D4751">
      <w:pPr>
        <w:spacing w:after="48"/>
      </w:pPr>
      <w:r>
        <w:separator/>
      </w:r>
    </w:p>
  </w:footnote>
  <w:footnote w:type="continuationSeparator" w:id="0">
    <w:p w:rsidR="006E72FD" w:rsidRDefault="006E72FD" w:rsidP="005D4751">
      <w:pPr>
        <w:spacing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3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3"/>
      <w:spacing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751" w:rsidRDefault="005D4751">
    <w:pPr>
      <w:pStyle w:val="a3"/>
      <w:spacing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gUiM1NTIwNjc0NjAyUdpeDU4uLM/DyQAqNaABKv2jYsAAAA"/>
  </w:docVars>
  <w:rsids>
    <w:rsidRoot w:val="00610E5D"/>
    <w:rsid w:val="00424E3F"/>
    <w:rsid w:val="005D4751"/>
    <w:rsid w:val="00610E5D"/>
    <w:rsid w:val="006E72FD"/>
    <w:rsid w:val="00940839"/>
    <w:rsid w:val="00B0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13588"/>
  <w15:chartTrackingRefBased/>
  <w15:docId w15:val="{BFFCBF52-CE7E-4CAD-8AA0-9CCC8B72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color w:val="1C1E29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E3F"/>
    <w:pPr>
      <w:widowControl w:val="0"/>
      <w:spacing w:afterLines="20" w:after="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浩亮</dc:creator>
  <cp:keywords/>
  <dc:description/>
  <cp:lastModifiedBy>闫 浩亮</cp:lastModifiedBy>
  <cp:revision>2</cp:revision>
  <dcterms:created xsi:type="dcterms:W3CDTF">2020-05-29T14:20:00Z</dcterms:created>
  <dcterms:modified xsi:type="dcterms:W3CDTF">2020-06-12T08:53:00Z</dcterms:modified>
</cp:coreProperties>
</file>