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8D23" w14:textId="02D4B426" w:rsidR="00150EF1" w:rsidRDefault="009608BD" w:rsidP="00A11293">
      <w:pPr>
        <w:snapToGrid w:val="0"/>
        <w:ind w:firstLineChars="50" w:firstLine="105"/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</w:pPr>
      <w:r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 xml:space="preserve">Supplemental Information </w:t>
      </w:r>
      <w:r w:rsidR="00C13EF2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>1</w:t>
      </w:r>
      <w:r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>:</w:t>
      </w:r>
      <w:r w:rsidRPr="002345D2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 xml:space="preserve"> </w:t>
      </w:r>
      <w:r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>B</w:t>
      </w:r>
      <w:r w:rsidR="00150EF1" w:rsidRPr="002345D2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 xml:space="preserve">ackground variables of </w:t>
      </w:r>
      <w:r w:rsidR="00A11293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 xml:space="preserve">630 </w:t>
      </w:r>
      <w:r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>infants</w:t>
      </w:r>
      <w:r w:rsidR="00D67BD6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 xml:space="preserve"> who were excluded from analysis</w:t>
      </w:r>
      <w:r w:rsidR="00A11293"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  <w:t>.</w:t>
      </w:r>
    </w:p>
    <w:p w14:paraId="350FBF17" w14:textId="77777777" w:rsidR="00A11293" w:rsidRPr="002345D2" w:rsidRDefault="00A11293" w:rsidP="00A11293">
      <w:pPr>
        <w:snapToGrid w:val="0"/>
        <w:ind w:firstLineChars="50" w:firstLine="105"/>
        <w:rPr>
          <w:rFonts w:ascii="Times" w:hAnsi="Times" w:cs="Arial"/>
          <w:b/>
          <w:bCs/>
          <w:color w:val="000000" w:themeColor="text1"/>
          <w:sz w:val="21"/>
          <w:szCs w:val="21"/>
          <w:lang w:val="en-GB"/>
        </w:rPr>
      </w:pPr>
    </w:p>
    <w:tbl>
      <w:tblPr>
        <w:tblStyle w:val="a3"/>
        <w:tblpPr w:leftFromText="181" w:rightFromText="181" w:vertAnchor="text" w:horzAnchor="margin" w:tblpY="1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492"/>
      </w:tblGrid>
      <w:tr w:rsidR="00150EF1" w:rsidRPr="002345D2" w14:paraId="6F160DE3" w14:textId="77777777" w:rsidTr="00A11293">
        <w:trPr>
          <w:trHeight w:val="273"/>
        </w:trPr>
        <w:tc>
          <w:tcPr>
            <w:tcW w:w="5103" w:type="dxa"/>
            <w:tcBorders>
              <w:top w:val="single" w:sz="4" w:space="0" w:color="auto"/>
            </w:tcBorders>
            <w:noWrap/>
          </w:tcPr>
          <w:p w14:paraId="67343946" w14:textId="77777777" w:rsidR="00150EF1" w:rsidRPr="002345D2" w:rsidRDefault="00150EF1" w:rsidP="00C26FE7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2345D2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Variables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59863029" w14:textId="77777777" w:rsidR="00150EF1" w:rsidRPr="002345D2" w:rsidRDefault="00150EF1" w:rsidP="00C26FE7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  <w:noWrap/>
          </w:tcPr>
          <w:p w14:paraId="0BF27242" w14:textId="32E95AD2" w:rsidR="00150EF1" w:rsidRPr="00A11293" w:rsidRDefault="00150EF1" w:rsidP="00A11293">
            <w:pPr>
              <w:jc w:val="center"/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</w:pPr>
          </w:p>
        </w:tc>
      </w:tr>
      <w:tr w:rsidR="00150EF1" w:rsidRPr="002345D2" w14:paraId="40ACD1A8" w14:textId="77777777" w:rsidTr="00A11293">
        <w:trPr>
          <w:trHeight w:val="273"/>
        </w:trPr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14:paraId="3C1FBB58" w14:textId="77777777" w:rsidR="00150EF1" w:rsidRPr="00936BFD" w:rsidRDefault="00150EF1" w:rsidP="00C26FE7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Gestational age (weeks)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2862FECE" w14:textId="77777777" w:rsidR="00150EF1" w:rsidRPr="00936BFD" w:rsidRDefault="00150EF1" w:rsidP="00C26FE7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  <w:noWrap/>
            <w:hideMark/>
          </w:tcPr>
          <w:p w14:paraId="78D5E486" w14:textId="5E8BF662" w:rsidR="00150EF1" w:rsidRPr="00F72AD1" w:rsidRDefault="00150EF1" w:rsidP="00C26FE7">
            <w:pPr>
              <w:jc w:val="center"/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F72AD1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36.</w:t>
            </w:r>
            <w:r w:rsidR="00D67BD6" w:rsidRPr="00A1129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1</w:t>
            </w:r>
            <w:r w:rsidRPr="00F72AD1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± </w:t>
            </w:r>
            <w:r w:rsidR="00D67BD6" w:rsidRPr="00A1129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4.4</w:t>
            </w:r>
          </w:p>
        </w:tc>
      </w:tr>
      <w:tr w:rsidR="00150EF1" w:rsidRPr="002345D2" w14:paraId="38F8E105" w14:textId="77777777" w:rsidTr="00A11293">
        <w:trPr>
          <w:trHeight w:val="273"/>
        </w:trPr>
        <w:tc>
          <w:tcPr>
            <w:tcW w:w="5103" w:type="dxa"/>
            <w:noWrap/>
            <w:hideMark/>
          </w:tcPr>
          <w:p w14:paraId="40F3DFF1" w14:textId="77777777" w:rsidR="00150EF1" w:rsidRPr="00936BFD" w:rsidRDefault="00150EF1" w:rsidP="00C26FE7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Body weight at birth (g)</w:t>
            </w:r>
          </w:p>
        </w:tc>
        <w:tc>
          <w:tcPr>
            <w:tcW w:w="1843" w:type="dxa"/>
            <w:noWrap/>
            <w:hideMark/>
          </w:tcPr>
          <w:p w14:paraId="66E2E615" w14:textId="77777777" w:rsidR="00150EF1" w:rsidRPr="00936BFD" w:rsidRDefault="00150EF1" w:rsidP="00C26FE7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2" w:type="dxa"/>
            <w:noWrap/>
            <w:hideMark/>
          </w:tcPr>
          <w:p w14:paraId="29A1A30D" w14:textId="4162BC07" w:rsidR="00150EF1" w:rsidRPr="00F72AD1" w:rsidRDefault="00D67BD6" w:rsidP="00C26FE7">
            <w:pPr>
              <w:jc w:val="center"/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A1129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2337</w:t>
            </w:r>
            <w:r w:rsidR="00AD2F90" w:rsidRPr="00F72AD1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150EF1" w:rsidRPr="00F72AD1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± 7</w:t>
            </w:r>
            <w:r w:rsidRPr="00A11293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97</w:t>
            </w:r>
          </w:p>
        </w:tc>
      </w:tr>
      <w:tr w:rsidR="00150EF1" w:rsidRPr="002345D2" w14:paraId="1E6B5228" w14:textId="77777777" w:rsidTr="00A11293">
        <w:trPr>
          <w:trHeight w:val="273"/>
        </w:trPr>
        <w:tc>
          <w:tcPr>
            <w:tcW w:w="5103" w:type="dxa"/>
            <w:noWrap/>
            <w:hideMark/>
          </w:tcPr>
          <w:p w14:paraId="3EDD589B" w14:textId="2D1B735E" w:rsidR="00150EF1" w:rsidRPr="00936BFD" w:rsidRDefault="00150EF1" w:rsidP="00C26FE7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 Z-score of the above parameters</w:t>
            </w:r>
            <w:r w:rsidR="004E53F1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(-)</w:t>
            </w: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14:paraId="4C9CF957" w14:textId="77777777" w:rsidR="00150EF1" w:rsidRPr="00936BFD" w:rsidRDefault="00150EF1" w:rsidP="00C26FE7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2" w:type="dxa"/>
            <w:noWrap/>
            <w:hideMark/>
          </w:tcPr>
          <w:p w14:paraId="3D165FF0" w14:textId="7B6D5000" w:rsidR="00150EF1" w:rsidRPr="00936BFD" w:rsidRDefault="00150EF1" w:rsidP="00C26FE7">
            <w:pPr>
              <w:jc w:val="center"/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-0.5</w:t>
            </w:r>
            <w:r w:rsidR="00D67BD6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0</w:t>
            </w: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± 1.</w:t>
            </w:r>
            <w:r w:rsidR="00D67BD6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33</w:t>
            </w:r>
          </w:p>
        </w:tc>
      </w:tr>
      <w:tr w:rsidR="00150EF1" w:rsidRPr="002345D2" w14:paraId="2B6DB130" w14:textId="77777777" w:rsidTr="00A11293">
        <w:trPr>
          <w:trHeight w:val="273"/>
        </w:trPr>
        <w:tc>
          <w:tcPr>
            <w:tcW w:w="5103" w:type="dxa"/>
            <w:noWrap/>
            <w:hideMark/>
          </w:tcPr>
          <w:p w14:paraId="163B8573" w14:textId="2BC613C9" w:rsidR="00150EF1" w:rsidRPr="00936BFD" w:rsidRDefault="00150EF1" w:rsidP="00C26FE7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Female sex</w:t>
            </w:r>
          </w:p>
        </w:tc>
        <w:tc>
          <w:tcPr>
            <w:tcW w:w="1843" w:type="dxa"/>
            <w:noWrap/>
            <w:hideMark/>
          </w:tcPr>
          <w:p w14:paraId="047B5A1B" w14:textId="77777777" w:rsidR="00150EF1" w:rsidRPr="00936BFD" w:rsidRDefault="00150EF1" w:rsidP="00C26FE7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2" w:type="dxa"/>
            <w:noWrap/>
            <w:hideMark/>
          </w:tcPr>
          <w:p w14:paraId="0B3C82AC" w14:textId="26CBCE01" w:rsidR="00150EF1" w:rsidRPr="00A11293" w:rsidRDefault="00D67BD6" w:rsidP="00C26FE7">
            <w:pPr>
              <w:jc w:val="center"/>
              <w:rPr>
                <w:rFonts w:ascii="Times" w:eastAsiaTheme="majorHAnsi" w:hAnsi="Times" w:cs="Arial"/>
                <w:color w:val="000000" w:themeColor="text1"/>
                <w:sz w:val="21"/>
                <w:szCs w:val="21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289</w:t>
            </w: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150EF1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46</w:t>
            </w:r>
            <w:r w:rsidR="000574DC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%</w:t>
            </w:r>
            <w:r w:rsidR="00150EF1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</w:tr>
      <w:tr w:rsidR="00150EF1" w:rsidRPr="002345D2" w14:paraId="4CCD13E1" w14:textId="77777777" w:rsidTr="00A11293">
        <w:trPr>
          <w:trHeight w:val="273"/>
        </w:trPr>
        <w:tc>
          <w:tcPr>
            <w:tcW w:w="5103" w:type="dxa"/>
            <w:noWrap/>
            <w:hideMark/>
          </w:tcPr>
          <w:p w14:paraId="2A335AD3" w14:textId="74A8CBDA" w:rsidR="00150EF1" w:rsidRPr="00936BFD" w:rsidRDefault="00150EF1" w:rsidP="00C26FE7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1-min Apgar score</w:t>
            </w:r>
            <w:r w:rsidR="004E53F1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(-)</w:t>
            </w:r>
          </w:p>
        </w:tc>
        <w:tc>
          <w:tcPr>
            <w:tcW w:w="1843" w:type="dxa"/>
            <w:noWrap/>
            <w:hideMark/>
          </w:tcPr>
          <w:p w14:paraId="0F302912" w14:textId="77777777" w:rsidR="00150EF1" w:rsidRPr="00936BFD" w:rsidRDefault="00150EF1" w:rsidP="00C26FE7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2" w:type="dxa"/>
            <w:noWrap/>
            <w:hideMark/>
          </w:tcPr>
          <w:p w14:paraId="45A457E7" w14:textId="77777777" w:rsidR="00150EF1" w:rsidRPr="00936BFD" w:rsidRDefault="00150EF1" w:rsidP="00C26FE7">
            <w:pPr>
              <w:jc w:val="center"/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8 [7-9]</w:t>
            </w:r>
          </w:p>
        </w:tc>
      </w:tr>
      <w:tr w:rsidR="00150EF1" w:rsidRPr="002345D2" w14:paraId="22F94B9E" w14:textId="77777777" w:rsidTr="00A11293">
        <w:trPr>
          <w:trHeight w:val="273"/>
        </w:trPr>
        <w:tc>
          <w:tcPr>
            <w:tcW w:w="5103" w:type="dxa"/>
            <w:noWrap/>
            <w:hideMark/>
          </w:tcPr>
          <w:p w14:paraId="72808C35" w14:textId="6E059697" w:rsidR="00150EF1" w:rsidRPr="00936BFD" w:rsidRDefault="00150EF1" w:rsidP="00C26FE7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5-min Apgar score</w:t>
            </w:r>
            <w:r w:rsidR="004E53F1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(-)</w:t>
            </w:r>
          </w:p>
        </w:tc>
        <w:tc>
          <w:tcPr>
            <w:tcW w:w="1843" w:type="dxa"/>
            <w:noWrap/>
            <w:hideMark/>
          </w:tcPr>
          <w:p w14:paraId="488FB58E" w14:textId="77777777" w:rsidR="00150EF1" w:rsidRPr="00936BFD" w:rsidRDefault="00150EF1" w:rsidP="00C26FE7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2" w:type="dxa"/>
            <w:noWrap/>
            <w:hideMark/>
          </w:tcPr>
          <w:p w14:paraId="4C34DC6E" w14:textId="77777777" w:rsidR="00150EF1" w:rsidRPr="00936BFD" w:rsidRDefault="00150EF1" w:rsidP="00C26FE7">
            <w:pPr>
              <w:jc w:val="center"/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9 [8-9]</w:t>
            </w:r>
          </w:p>
        </w:tc>
      </w:tr>
      <w:tr w:rsidR="00E45D7A" w:rsidRPr="002345D2" w14:paraId="33BAB767" w14:textId="77777777" w:rsidTr="00A11293">
        <w:trPr>
          <w:trHeight w:val="273"/>
        </w:trPr>
        <w:tc>
          <w:tcPr>
            <w:tcW w:w="5103" w:type="dxa"/>
            <w:noWrap/>
            <w:hideMark/>
          </w:tcPr>
          <w:p w14:paraId="50D6B634" w14:textId="77777777" w:rsidR="00E45D7A" w:rsidRPr="00936BFD" w:rsidRDefault="00E45D7A" w:rsidP="00E45D7A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Caesarean delivery </w:t>
            </w:r>
          </w:p>
        </w:tc>
        <w:tc>
          <w:tcPr>
            <w:tcW w:w="1843" w:type="dxa"/>
            <w:noWrap/>
            <w:hideMark/>
          </w:tcPr>
          <w:p w14:paraId="5818BF82" w14:textId="77777777" w:rsidR="00E45D7A" w:rsidRPr="00936BFD" w:rsidRDefault="00E45D7A" w:rsidP="00E45D7A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2" w:type="dxa"/>
            <w:noWrap/>
            <w:hideMark/>
          </w:tcPr>
          <w:p w14:paraId="4877B72B" w14:textId="31ACB83B" w:rsidR="00E45D7A" w:rsidRPr="00936BFD" w:rsidRDefault="00D67BD6" w:rsidP="00E45D7A">
            <w:pPr>
              <w:jc w:val="center"/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304</w:t>
            </w:r>
            <w:r w:rsidR="00E45D7A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004BAC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(48</w:t>
            </w:r>
            <w:r w:rsidR="00004BAC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E45D7A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%)</w:t>
            </w:r>
          </w:p>
        </w:tc>
      </w:tr>
      <w:tr w:rsidR="00E45D7A" w:rsidRPr="002345D2" w14:paraId="6720B5DD" w14:textId="77777777" w:rsidTr="00A11293">
        <w:trPr>
          <w:trHeight w:val="273"/>
        </w:trPr>
        <w:tc>
          <w:tcPr>
            <w:tcW w:w="5103" w:type="dxa"/>
            <w:noWrap/>
            <w:hideMark/>
          </w:tcPr>
          <w:p w14:paraId="1D1AA889" w14:textId="77777777" w:rsidR="00E45D7A" w:rsidRPr="00936BFD" w:rsidRDefault="00E45D7A" w:rsidP="00E45D7A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Premature rupture of the membranes</w:t>
            </w:r>
          </w:p>
        </w:tc>
        <w:tc>
          <w:tcPr>
            <w:tcW w:w="1843" w:type="dxa"/>
            <w:noWrap/>
            <w:hideMark/>
          </w:tcPr>
          <w:p w14:paraId="22C05980" w14:textId="77777777" w:rsidR="00E45D7A" w:rsidRPr="00936BFD" w:rsidRDefault="00E45D7A" w:rsidP="00E45D7A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2" w:type="dxa"/>
            <w:noWrap/>
            <w:hideMark/>
          </w:tcPr>
          <w:p w14:paraId="48365326" w14:textId="4A246E99" w:rsidR="00E45D7A" w:rsidRPr="00936BFD" w:rsidRDefault="005E4DB9" w:rsidP="00E45D7A">
            <w:pPr>
              <w:jc w:val="center"/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121</w:t>
            </w:r>
            <w:r w:rsidR="00E45D7A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(</w:t>
            </w:r>
            <w:r w:rsidR="00004BAC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19</w:t>
            </w:r>
            <w:r w:rsidR="00E45D7A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%)</w:t>
            </w:r>
          </w:p>
        </w:tc>
      </w:tr>
      <w:tr w:rsidR="00E45D7A" w:rsidRPr="002345D2" w14:paraId="360AB759" w14:textId="77777777" w:rsidTr="00A11293">
        <w:trPr>
          <w:trHeight w:val="273"/>
        </w:trPr>
        <w:tc>
          <w:tcPr>
            <w:tcW w:w="5103" w:type="dxa"/>
            <w:noWrap/>
            <w:hideMark/>
          </w:tcPr>
          <w:p w14:paraId="6CEDD00D" w14:textId="77777777" w:rsidR="00E45D7A" w:rsidRPr="00936BFD" w:rsidRDefault="00E45D7A" w:rsidP="00E45D7A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Hypertensive disorders of pregnancy  </w:t>
            </w:r>
          </w:p>
        </w:tc>
        <w:tc>
          <w:tcPr>
            <w:tcW w:w="1843" w:type="dxa"/>
            <w:noWrap/>
            <w:hideMark/>
          </w:tcPr>
          <w:p w14:paraId="7A536AB8" w14:textId="77777777" w:rsidR="00E45D7A" w:rsidRPr="00936BFD" w:rsidRDefault="00E45D7A" w:rsidP="00E45D7A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2" w:type="dxa"/>
            <w:noWrap/>
            <w:hideMark/>
          </w:tcPr>
          <w:p w14:paraId="6D32198A" w14:textId="72B3C224" w:rsidR="00E45D7A" w:rsidRPr="00936BFD" w:rsidRDefault="00EE0A0A" w:rsidP="00E45D7A">
            <w:pPr>
              <w:jc w:val="center"/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55</w:t>
            </w:r>
            <w:r w:rsidR="00E45D7A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(</w:t>
            </w:r>
            <w:r w:rsidR="00004BAC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9</w:t>
            </w:r>
            <w:r w:rsidR="00E45D7A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%)</w:t>
            </w:r>
          </w:p>
        </w:tc>
      </w:tr>
      <w:tr w:rsidR="00E45D7A" w:rsidRPr="002345D2" w14:paraId="183B1713" w14:textId="77777777" w:rsidTr="00A11293">
        <w:trPr>
          <w:trHeight w:val="273"/>
        </w:trPr>
        <w:tc>
          <w:tcPr>
            <w:tcW w:w="5103" w:type="dxa"/>
            <w:noWrap/>
            <w:hideMark/>
          </w:tcPr>
          <w:p w14:paraId="5428A0AE" w14:textId="77777777" w:rsidR="00E45D7A" w:rsidRPr="00936BFD" w:rsidRDefault="00E45D7A" w:rsidP="00E45D7A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Gestational diabetes  </w:t>
            </w:r>
          </w:p>
        </w:tc>
        <w:tc>
          <w:tcPr>
            <w:tcW w:w="1843" w:type="dxa"/>
            <w:noWrap/>
            <w:hideMark/>
          </w:tcPr>
          <w:p w14:paraId="35A91AC3" w14:textId="77777777" w:rsidR="00E45D7A" w:rsidRPr="00936BFD" w:rsidRDefault="00E45D7A" w:rsidP="00E45D7A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2" w:type="dxa"/>
            <w:noWrap/>
            <w:hideMark/>
          </w:tcPr>
          <w:p w14:paraId="337485BB" w14:textId="752BC1C1" w:rsidR="00E45D7A" w:rsidRPr="00936BFD" w:rsidRDefault="00EE0A0A" w:rsidP="00E45D7A">
            <w:pPr>
              <w:jc w:val="center"/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150</w:t>
            </w:r>
            <w:r w:rsidR="00E45D7A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(</w:t>
            </w:r>
            <w:r w:rsidR="00004BAC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24</w:t>
            </w:r>
            <w:r w:rsidR="00E45D7A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%)</w:t>
            </w:r>
          </w:p>
        </w:tc>
      </w:tr>
      <w:tr w:rsidR="00E45D7A" w:rsidRPr="002345D2" w14:paraId="63863AC7" w14:textId="77777777" w:rsidTr="00A11293">
        <w:trPr>
          <w:trHeight w:val="273"/>
        </w:trPr>
        <w:tc>
          <w:tcPr>
            <w:tcW w:w="5103" w:type="dxa"/>
            <w:noWrap/>
            <w:hideMark/>
          </w:tcPr>
          <w:p w14:paraId="2DF0F9F6" w14:textId="77777777" w:rsidR="00E45D7A" w:rsidRPr="00936BFD" w:rsidRDefault="00E45D7A" w:rsidP="00E45D7A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Chorioamnionitis</w:t>
            </w:r>
          </w:p>
        </w:tc>
        <w:tc>
          <w:tcPr>
            <w:tcW w:w="1843" w:type="dxa"/>
            <w:noWrap/>
            <w:hideMark/>
          </w:tcPr>
          <w:p w14:paraId="10B225D7" w14:textId="77777777" w:rsidR="00E45D7A" w:rsidRPr="00936BFD" w:rsidRDefault="00E45D7A" w:rsidP="00E45D7A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2" w:type="dxa"/>
            <w:noWrap/>
            <w:hideMark/>
          </w:tcPr>
          <w:p w14:paraId="1D6269EC" w14:textId="2AB511DC" w:rsidR="00E45D7A" w:rsidRPr="00936BFD" w:rsidRDefault="00EE0A0A" w:rsidP="00E45D7A">
            <w:pPr>
              <w:jc w:val="center"/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89</w:t>
            </w:r>
            <w:r w:rsidR="00E45D7A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004BAC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(14 </w:t>
            </w:r>
            <w:r w:rsidR="00E45D7A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%)</w:t>
            </w:r>
          </w:p>
        </w:tc>
      </w:tr>
      <w:tr w:rsidR="00E45D7A" w:rsidRPr="002345D2" w14:paraId="66C99C4A" w14:textId="77777777" w:rsidTr="00A11293">
        <w:trPr>
          <w:trHeight w:val="273"/>
        </w:trPr>
        <w:tc>
          <w:tcPr>
            <w:tcW w:w="5103" w:type="dxa"/>
            <w:noWrap/>
            <w:hideMark/>
          </w:tcPr>
          <w:p w14:paraId="2F89DF67" w14:textId="77777777" w:rsidR="00E45D7A" w:rsidRPr="00936BFD" w:rsidRDefault="00E45D7A" w:rsidP="00E45D7A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Intubation on day 0</w:t>
            </w:r>
          </w:p>
        </w:tc>
        <w:tc>
          <w:tcPr>
            <w:tcW w:w="1843" w:type="dxa"/>
            <w:noWrap/>
            <w:hideMark/>
          </w:tcPr>
          <w:p w14:paraId="574C369A" w14:textId="77777777" w:rsidR="00E45D7A" w:rsidRPr="00936BFD" w:rsidRDefault="00E45D7A" w:rsidP="00E45D7A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2" w:type="dxa"/>
            <w:noWrap/>
            <w:hideMark/>
          </w:tcPr>
          <w:p w14:paraId="21D79707" w14:textId="7F7AEB6D" w:rsidR="00E45D7A" w:rsidRPr="00936BFD" w:rsidRDefault="00004BAC" w:rsidP="00E45D7A">
            <w:pPr>
              <w:jc w:val="center"/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113</w:t>
            </w:r>
            <w:r w:rsidR="00E45D7A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(</w:t>
            </w: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18</w:t>
            </w:r>
            <w:r w:rsidR="00E45D7A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%)</w:t>
            </w:r>
          </w:p>
        </w:tc>
      </w:tr>
      <w:tr w:rsidR="00E45D7A" w:rsidRPr="002345D2" w14:paraId="74192E20" w14:textId="77777777" w:rsidTr="00A11293">
        <w:trPr>
          <w:trHeight w:val="273"/>
        </w:trPr>
        <w:tc>
          <w:tcPr>
            <w:tcW w:w="5103" w:type="dxa"/>
            <w:noWrap/>
            <w:hideMark/>
          </w:tcPr>
          <w:p w14:paraId="5F7DBE4A" w14:textId="77777777" w:rsidR="00E45D7A" w:rsidRPr="00936BFD" w:rsidRDefault="00E45D7A" w:rsidP="00E45D7A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Non-invasive positive pressure ventilation on day 0</w:t>
            </w:r>
          </w:p>
        </w:tc>
        <w:tc>
          <w:tcPr>
            <w:tcW w:w="1843" w:type="dxa"/>
            <w:noWrap/>
            <w:hideMark/>
          </w:tcPr>
          <w:p w14:paraId="75F9FCF0" w14:textId="77777777" w:rsidR="00E45D7A" w:rsidRPr="00936BFD" w:rsidRDefault="00E45D7A" w:rsidP="00E45D7A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2" w:type="dxa"/>
            <w:noWrap/>
            <w:hideMark/>
          </w:tcPr>
          <w:p w14:paraId="12697E26" w14:textId="27CB464E" w:rsidR="00E45D7A" w:rsidRPr="00936BFD" w:rsidRDefault="00004BAC" w:rsidP="00E45D7A">
            <w:pPr>
              <w:jc w:val="center"/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37</w:t>
            </w:r>
            <w:r w:rsidR="00F91B5E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E45D7A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6 </w:t>
            </w:r>
            <w:r w:rsidR="00E45D7A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%)</w:t>
            </w:r>
          </w:p>
        </w:tc>
      </w:tr>
      <w:tr w:rsidR="00E45D7A" w:rsidRPr="002345D2" w14:paraId="522A9480" w14:textId="77777777" w:rsidTr="00A11293">
        <w:trPr>
          <w:trHeight w:val="273"/>
        </w:trPr>
        <w:tc>
          <w:tcPr>
            <w:tcW w:w="5103" w:type="dxa"/>
            <w:noWrap/>
            <w:hideMark/>
          </w:tcPr>
          <w:p w14:paraId="050B75EB" w14:textId="2A3BD373" w:rsidR="00E45D7A" w:rsidRPr="00936BFD" w:rsidRDefault="00E45D7A" w:rsidP="00E45D7A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Non-invasive positive pressure ventilation on day</w:t>
            </w:r>
            <w:r w:rsidR="00F91B5E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s</w:t>
            </w:r>
            <w:r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5-7*</w:t>
            </w:r>
          </w:p>
        </w:tc>
        <w:tc>
          <w:tcPr>
            <w:tcW w:w="1843" w:type="dxa"/>
            <w:noWrap/>
            <w:hideMark/>
          </w:tcPr>
          <w:p w14:paraId="23B76841" w14:textId="77777777" w:rsidR="00E45D7A" w:rsidRPr="00936BFD" w:rsidRDefault="00E45D7A" w:rsidP="00E45D7A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2" w:type="dxa"/>
            <w:noWrap/>
            <w:hideMark/>
          </w:tcPr>
          <w:p w14:paraId="4E273BB6" w14:textId="542B9A4C" w:rsidR="00E45D7A" w:rsidRPr="00936BFD" w:rsidRDefault="00004BAC" w:rsidP="00E45D7A">
            <w:pPr>
              <w:jc w:val="center"/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18</w:t>
            </w:r>
            <w:r w:rsidR="00F91B5E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E45D7A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(</w:t>
            </w:r>
            <w: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3 </w:t>
            </w:r>
            <w:r w:rsidR="00E45D7A" w:rsidRPr="00936BFD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%)</w:t>
            </w:r>
          </w:p>
        </w:tc>
      </w:tr>
      <w:tr w:rsidR="00150EF1" w:rsidRPr="002345D2" w14:paraId="1035D907" w14:textId="77777777" w:rsidTr="00A11293">
        <w:trPr>
          <w:trHeight w:val="273"/>
        </w:trPr>
        <w:tc>
          <w:tcPr>
            <w:tcW w:w="5103" w:type="dxa"/>
            <w:tcBorders>
              <w:bottom w:val="single" w:sz="4" w:space="0" w:color="auto"/>
            </w:tcBorders>
            <w:noWrap/>
            <w:hideMark/>
          </w:tcPr>
          <w:p w14:paraId="468FD51B" w14:textId="6C9C9417" w:rsidR="00150EF1" w:rsidRPr="002345D2" w:rsidRDefault="00150EF1" w:rsidP="00C26FE7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2345D2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Cord blood pH</w:t>
            </w:r>
            <w:r w:rsidR="004E53F1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(-)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16EF4826" w14:textId="77777777" w:rsidR="00150EF1" w:rsidRPr="002345D2" w:rsidRDefault="00150EF1" w:rsidP="00C26FE7">
            <w:pPr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noWrap/>
            <w:hideMark/>
          </w:tcPr>
          <w:p w14:paraId="74AF9D63" w14:textId="0FC69BF6" w:rsidR="00150EF1" w:rsidRPr="002345D2" w:rsidRDefault="00150EF1" w:rsidP="00C26FE7">
            <w:pPr>
              <w:jc w:val="center"/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</w:pPr>
            <w:r w:rsidRPr="002345D2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7.</w:t>
            </w:r>
            <w:r w:rsidR="005E4DB9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30</w:t>
            </w:r>
            <w:r w:rsidRPr="002345D2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 xml:space="preserve"> ± 0.</w:t>
            </w:r>
            <w:r w:rsidR="005E4DB9">
              <w:rPr>
                <w:rFonts w:ascii="Times" w:eastAsiaTheme="majorHAnsi" w:hAnsi="Times" w:cs="Arial"/>
                <w:color w:val="000000" w:themeColor="text1"/>
                <w:sz w:val="21"/>
                <w:szCs w:val="21"/>
                <w:lang w:val="en-GB"/>
              </w:rPr>
              <w:t>10</w:t>
            </w:r>
          </w:p>
        </w:tc>
      </w:tr>
    </w:tbl>
    <w:p w14:paraId="21B5275C" w14:textId="3379F014" w:rsidR="00150EF1" w:rsidRDefault="005E4DB9" w:rsidP="00150EF1">
      <w:pPr>
        <w:snapToGrid w:val="0"/>
        <w:rPr>
          <w:rFonts w:ascii="Times" w:hAnsi="Times" w:cs="Arial"/>
          <w:color w:val="000000" w:themeColor="text1"/>
          <w:sz w:val="21"/>
          <w:szCs w:val="21"/>
          <w:lang w:val="en-GB"/>
        </w:rPr>
      </w:pP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="00150EF1" w:rsidRPr="002345D2">
        <w:rPr>
          <w:rFonts w:ascii="Times" w:hAnsi="Times" w:cs="Arial"/>
          <w:color w:val="000000" w:themeColor="text1"/>
          <w:sz w:val="21"/>
          <w:szCs w:val="21"/>
          <w:lang w:val="en-GB"/>
        </w:rPr>
        <w:t>Values are shown as mean ± standard deviation, median [interquartile range] or number (%).</w:t>
      </w:r>
    </w:p>
    <w:p w14:paraId="67FBF22D" w14:textId="39602BD4" w:rsidR="00AE0A3E" w:rsidRDefault="00AE0A3E" w:rsidP="00150EF1">
      <w:pPr>
        <w:snapToGrid w:val="0"/>
        <w:rPr>
          <w:rFonts w:ascii="Times" w:hAnsi="Times" w:cs="Arial"/>
          <w:color w:val="000000" w:themeColor="text1"/>
          <w:sz w:val="21"/>
          <w:szCs w:val="21"/>
          <w:lang w:val="en-GB"/>
        </w:rPr>
      </w:pPr>
      <w:r w:rsidRPr="002345D2">
        <w:rPr>
          <w:rFonts w:ascii="Times" w:hAnsi="Times" w:cs="Arial"/>
          <w:color w:val="000000" w:themeColor="text1"/>
          <w:sz w:val="21"/>
          <w:szCs w:val="21"/>
          <w:lang w:val="en-GB"/>
        </w:rPr>
        <w:t>*At the time of blood sampling.</w:t>
      </w:r>
    </w:p>
    <w:p w14:paraId="591E0F6B" w14:textId="6FCEEA4B" w:rsidR="009608BD" w:rsidRPr="002345D2" w:rsidRDefault="009608BD" w:rsidP="00150EF1">
      <w:pPr>
        <w:snapToGrid w:val="0"/>
        <w:rPr>
          <w:rFonts w:ascii="Times" w:hAnsi="Times" w:cs="Arial"/>
          <w:color w:val="000000" w:themeColor="text1"/>
          <w:sz w:val="21"/>
          <w:szCs w:val="21"/>
          <w:lang w:val="en-GB"/>
        </w:rPr>
      </w:pPr>
      <w:r>
        <w:rPr>
          <w:rFonts w:ascii="Times" w:hAnsi="Times" w:cs="Arial" w:hint="eastAsia"/>
          <w:color w:val="000000" w:themeColor="text1"/>
          <w:sz w:val="21"/>
          <w:szCs w:val="21"/>
          <w:lang w:val="en-GB"/>
        </w:rPr>
        <w:t xml:space="preserve"> 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See Figure 1 for </w:t>
      </w:r>
      <w:r w:rsidR="00A11293">
        <w:rPr>
          <w:rFonts w:ascii="Times" w:hAnsi="Times" w:cs="Arial"/>
          <w:color w:val="000000" w:themeColor="text1"/>
          <w:sz w:val="21"/>
          <w:szCs w:val="21"/>
          <w:lang w:val="en-GB"/>
        </w:rPr>
        <w:t>reasons for exclusion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.</w:t>
      </w:r>
    </w:p>
    <w:p w14:paraId="33CC2B3B" w14:textId="77777777" w:rsidR="00C26FE7" w:rsidRPr="002345D2" w:rsidRDefault="00C26FE7">
      <w:pPr>
        <w:rPr>
          <w:rFonts w:ascii="Times" w:hAnsi="Times" w:cs="Arial"/>
          <w:b/>
          <w:bCs/>
          <w:sz w:val="22"/>
          <w:szCs w:val="22"/>
        </w:rPr>
      </w:pPr>
    </w:p>
    <w:sectPr w:rsidR="00C26FE7" w:rsidRPr="002345D2" w:rsidSect="006F772E">
      <w:pgSz w:w="12242" w:h="1619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51DDD" w14:textId="77777777" w:rsidR="00E609B4" w:rsidRDefault="00E609B4" w:rsidP="004C18B6">
      <w:r>
        <w:separator/>
      </w:r>
    </w:p>
  </w:endnote>
  <w:endnote w:type="continuationSeparator" w:id="0">
    <w:p w14:paraId="133F0C68" w14:textId="77777777" w:rsidR="00E609B4" w:rsidRDefault="00E609B4" w:rsidP="004C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E4914" w14:textId="77777777" w:rsidR="00E609B4" w:rsidRDefault="00E609B4" w:rsidP="004C18B6">
      <w:r>
        <w:separator/>
      </w:r>
    </w:p>
  </w:footnote>
  <w:footnote w:type="continuationSeparator" w:id="0">
    <w:p w14:paraId="7191800B" w14:textId="77777777" w:rsidR="00E609B4" w:rsidRDefault="00E609B4" w:rsidP="004C1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F1"/>
    <w:rsid w:val="00004BAC"/>
    <w:rsid w:val="00043106"/>
    <w:rsid w:val="000574DC"/>
    <w:rsid w:val="00080D94"/>
    <w:rsid w:val="0008405E"/>
    <w:rsid w:val="00123488"/>
    <w:rsid w:val="00150EF1"/>
    <w:rsid w:val="0018489C"/>
    <w:rsid w:val="0018612F"/>
    <w:rsid w:val="001A6B59"/>
    <w:rsid w:val="00224E25"/>
    <w:rsid w:val="002345D2"/>
    <w:rsid w:val="00294BAB"/>
    <w:rsid w:val="002A1F5A"/>
    <w:rsid w:val="002A348F"/>
    <w:rsid w:val="00353FAB"/>
    <w:rsid w:val="00360A1C"/>
    <w:rsid w:val="003775AF"/>
    <w:rsid w:val="00383F56"/>
    <w:rsid w:val="003B73E0"/>
    <w:rsid w:val="003D4656"/>
    <w:rsid w:val="00414E9B"/>
    <w:rsid w:val="00443AA0"/>
    <w:rsid w:val="00453D0D"/>
    <w:rsid w:val="004B42C0"/>
    <w:rsid w:val="004C18B6"/>
    <w:rsid w:val="004E13AF"/>
    <w:rsid w:val="004E53F1"/>
    <w:rsid w:val="005E4DB9"/>
    <w:rsid w:val="00617818"/>
    <w:rsid w:val="0065247F"/>
    <w:rsid w:val="006560A3"/>
    <w:rsid w:val="00664F8A"/>
    <w:rsid w:val="006769C5"/>
    <w:rsid w:val="006D2F82"/>
    <w:rsid w:val="006F772E"/>
    <w:rsid w:val="00742DD0"/>
    <w:rsid w:val="008316E6"/>
    <w:rsid w:val="00876CBF"/>
    <w:rsid w:val="00880CDC"/>
    <w:rsid w:val="008C7183"/>
    <w:rsid w:val="008E1996"/>
    <w:rsid w:val="00936BFD"/>
    <w:rsid w:val="009608BD"/>
    <w:rsid w:val="009806DD"/>
    <w:rsid w:val="009B042E"/>
    <w:rsid w:val="009C1BC4"/>
    <w:rsid w:val="009E21E1"/>
    <w:rsid w:val="00A11293"/>
    <w:rsid w:val="00A36FE2"/>
    <w:rsid w:val="00A64DCF"/>
    <w:rsid w:val="00A80F42"/>
    <w:rsid w:val="00A9252D"/>
    <w:rsid w:val="00AD2271"/>
    <w:rsid w:val="00AD2F90"/>
    <w:rsid w:val="00AE0A3E"/>
    <w:rsid w:val="00B07A43"/>
    <w:rsid w:val="00B55D55"/>
    <w:rsid w:val="00B67B3F"/>
    <w:rsid w:val="00B7784E"/>
    <w:rsid w:val="00B945A0"/>
    <w:rsid w:val="00B9522C"/>
    <w:rsid w:val="00BB1EC8"/>
    <w:rsid w:val="00BF4F15"/>
    <w:rsid w:val="00C13EF2"/>
    <w:rsid w:val="00C145CD"/>
    <w:rsid w:val="00C26FE7"/>
    <w:rsid w:val="00C86391"/>
    <w:rsid w:val="00C91255"/>
    <w:rsid w:val="00C958D4"/>
    <w:rsid w:val="00CC5383"/>
    <w:rsid w:val="00D4230B"/>
    <w:rsid w:val="00D45671"/>
    <w:rsid w:val="00D67BD6"/>
    <w:rsid w:val="00E10A72"/>
    <w:rsid w:val="00E40E02"/>
    <w:rsid w:val="00E45D7A"/>
    <w:rsid w:val="00E51633"/>
    <w:rsid w:val="00E609B4"/>
    <w:rsid w:val="00E758C8"/>
    <w:rsid w:val="00E96C99"/>
    <w:rsid w:val="00ED37DF"/>
    <w:rsid w:val="00EE0A0A"/>
    <w:rsid w:val="00F10B58"/>
    <w:rsid w:val="00F4144E"/>
    <w:rsid w:val="00F71A03"/>
    <w:rsid w:val="00F72AD1"/>
    <w:rsid w:val="00F7636B"/>
    <w:rsid w:val="00F91B5E"/>
    <w:rsid w:val="00F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C835F"/>
  <w15:chartTrackingRefBased/>
  <w15:docId w15:val="{3EAE25D7-BF05-CA48-AC52-B33AE37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EF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84E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784E"/>
    <w:rPr>
      <w:rFonts w:ascii="ＭＳ 明朝" w:eastAsia="ＭＳ 明朝" w:hAnsi="ＭＳ Ｐゴシック" w:cs="ＭＳ Ｐゴシック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8B6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4C18B6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C18B6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4C18B6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優子</dc:creator>
  <cp:keywords/>
  <dc:description/>
  <cp:lastModifiedBy>osuke iwata</cp:lastModifiedBy>
  <cp:revision>13</cp:revision>
  <cp:lastPrinted>2021-02-10T06:11:00Z</cp:lastPrinted>
  <dcterms:created xsi:type="dcterms:W3CDTF">2021-02-15T05:08:00Z</dcterms:created>
  <dcterms:modified xsi:type="dcterms:W3CDTF">2021-02-19T06:52:00Z</dcterms:modified>
</cp:coreProperties>
</file>