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51F" w:rsidRDefault="00FF3908">
      <w:pPr>
        <w:spacing w:line="480" w:lineRule="auto"/>
        <w:ind w:left="720" w:hanging="720"/>
        <w:jc w:val="center"/>
        <w:rPr>
          <w:rFonts w:ascii="Times New Roman" w:eastAsia="Times New Roman" w:hAnsi="Times New Roman" w:cs="Times New Roman"/>
          <w:b/>
        </w:rPr>
      </w:pPr>
      <w:r>
        <w:rPr>
          <w:rFonts w:ascii="Times New Roman" w:eastAsia="Times New Roman" w:hAnsi="Times New Roman" w:cs="Times New Roman"/>
          <w:b/>
        </w:rPr>
        <w:t>Supplemental Materials</w:t>
      </w:r>
    </w:p>
    <w:p w:rsidR="004A651F" w:rsidRDefault="00FF3908">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 xml:space="preserve">The role of orthographic neighbourhood effects in lateralized lexical decision: </w:t>
      </w:r>
    </w:p>
    <w:p w:rsidR="004A651F" w:rsidRDefault="00FF3908">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A replication study and meta-analysis.</w:t>
      </w:r>
    </w:p>
    <w:p w:rsidR="004A651F" w:rsidRDefault="00FF3908">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Parker, A. J., Egan, C., Grant, J. H., Harte, S., Hudson, B. T., and Woodhead, Z. V. J.</w:t>
      </w:r>
    </w:p>
    <w:p w:rsidR="004A651F" w:rsidRDefault="004A651F">
      <w:pPr>
        <w:spacing w:line="480" w:lineRule="auto"/>
        <w:jc w:val="center"/>
        <w:rPr>
          <w:rFonts w:ascii="Times New Roman" w:eastAsia="Times New Roman" w:hAnsi="Times New Roman" w:cs="Times New Roman"/>
          <w:b/>
        </w:rPr>
      </w:pPr>
    </w:p>
    <w:p w:rsidR="004A651F" w:rsidRDefault="00C33220">
      <w:pPr>
        <w:spacing w:line="480" w:lineRule="auto"/>
        <w:rPr>
          <w:rFonts w:ascii="Times New Roman" w:eastAsia="Times New Roman" w:hAnsi="Times New Roman" w:cs="Times New Roman"/>
          <w:b/>
        </w:rPr>
      </w:pPr>
      <w:r>
        <w:rPr>
          <w:rFonts w:ascii="Times New Roman" w:eastAsia="Times New Roman" w:hAnsi="Times New Roman" w:cs="Times New Roman"/>
          <w:b/>
        </w:rPr>
        <w:t xml:space="preserve">Supplemental Materials A: </w:t>
      </w:r>
      <w:r w:rsidR="00FF3908">
        <w:rPr>
          <w:rFonts w:ascii="Times New Roman" w:eastAsia="Times New Roman" w:hAnsi="Times New Roman" w:cs="Times New Roman"/>
          <w:b/>
        </w:rPr>
        <w:t>N effects across visual fields for each participant</w:t>
      </w:r>
    </w:p>
    <w:p w:rsidR="004A651F" w:rsidRDefault="004A651F">
      <w:pPr>
        <w:spacing w:line="480" w:lineRule="auto"/>
        <w:rPr>
          <w:rFonts w:ascii="Times New Roman" w:eastAsia="Times New Roman" w:hAnsi="Times New Roman" w:cs="Times New Roman"/>
          <w:b/>
        </w:rPr>
      </w:pPr>
    </w:p>
    <w:p w:rsidR="004A651F" w:rsidRDefault="00FF3908">
      <w:pPr>
        <w:spacing w:line="276" w:lineRule="auto"/>
        <w:rPr>
          <w:rFonts w:ascii="Times New Roman" w:eastAsia="Times New Roman" w:hAnsi="Times New Roman" w:cs="Times New Roman"/>
        </w:rPr>
      </w:pPr>
      <w:r>
        <w:rPr>
          <w:rFonts w:ascii="Times New Roman" w:eastAsia="Times New Roman" w:hAnsi="Times New Roman" w:cs="Times New Roman"/>
        </w:rPr>
        <w:t>Table S1. Individual reaction time differences (</w:t>
      </w:r>
      <w:proofErr w:type="spellStart"/>
      <w:r>
        <w:rPr>
          <w:rFonts w:ascii="Times New Roman" w:eastAsia="Times New Roman" w:hAnsi="Times New Roman" w:cs="Times New Roman"/>
        </w:rPr>
        <w:t>ms</w:t>
      </w:r>
      <w:proofErr w:type="spellEnd"/>
      <w:r>
        <w:rPr>
          <w:rFonts w:ascii="Times New Roman" w:eastAsia="Times New Roman" w:hAnsi="Times New Roman" w:cs="Times New Roman"/>
        </w:rPr>
        <w:t xml:space="preserve">) for the high N - low N stimuli across each visual field. A negative value indicates a </w:t>
      </w:r>
      <w:proofErr w:type="spellStart"/>
      <w:r>
        <w:rPr>
          <w:rFonts w:ascii="Times New Roman" w:eastAsia="Times New Roman" w:hAnsi="Times New Roman" w:cs="Times New Roman"/>
        </w:rPr>
        <w:t>facilitatory</w:t>
      </w:r>
      <w:proofErr w:type="spellEnd"/>
      <w:r>
        <w:rPr>
          <w:rFonts w:ascii="Times New Roman" w:eastAsia="Times New Roman" w:hAnsi="Times New Roman" w:cs="Times New Roman"/>
        </w:rPr>
        <w:t xml:space="preserve"> effect and a positive value indicates an inhibitory effect. </w:t>
      </w:r>
    </w:p>
    <w:tbl>
      <w:tblPr>
        <w:tblStyle w:val="a"/>
        <w:tblW w:w="4545" w:type="dxa"/>
        <w:tblBorders>
          <w:top w:val="nil"/>
          <w:left w:val="nil"/>
          <w:bottom w:val="nil"/>
          <w:right w:val="nil"/>
          <w:insideH w:val="nil"/>
          <w:insideV w:val="nil"/>
        </w:tblBorders>
        <w:tblLayout w:type="fixed"/>
        <w:tblLook w:val="0600" w:firstRow="0" w:lastRow="0" w:firstColumn="0" w:lastColumn="0" w:noHBand="1" w:noVBand="1"/>
      </w:tblPr>
      <w:tblGrid>
        <w:gridCol w:w="1365"/>
        <w:gridCol w:w="1020"/>
        <w:gridCol w:w="1140"/>
        <w:gridCol w:w="1020"/>
      </w:tblGrid>
      <w:tr w:rsidR="004A651F">
        <w:trPr>
          <w:trHeight w:val="500"/>
        </w:trPr>
        <w:tc>
          <w:tcPr>
            <w:tcW w:w="1365"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tcPr>
          <w:p w:rsidR="004A651F" w:rsidRDefault="004A651F">
            <w:pPr>
              <w:widowControl w:val="0"/>
              <w:rPr>
                <w:rFonts w:ascii="Times New Roman" w:eastAsia="Times New Roman" w:hAnsi="Times New Roman" w:cs="Times New Roman"/>
              </w:rPr>
            </w:pPr>
          </w:p>
        </w:tc>
        <w:tc>
          <w:tcPr>
            <w:tcW w:w="3180" w:type="dxa"/>
            <w:gridSpan w:val="3"/>
            <w:tcBorders>
              <w:top w:val="single" w:sz="8" w:space="0" w:color="000000"/>
              <w:left w:val="nil"/>
              <w:bottom w:val="single" w:sz="8" w:space="0" w:color="000000"/>
              <w:right w:val="single" w:sz="8" w:space="0" w:color="FFFFFF"/>
            </w:tcBorders>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Visual field</w:t>
            </w:r>
          </w:p>
        </w:tc>
      </w:tr>
      <w:tr w:rsidR="004A651F">
        <w:trPr>
          <w:trHeight w:val="500"/>
        </w:trPr>
        <w:tc>
          <w:tcPr>
            <w:tcW w:w="1365" w:type="dxa"/>
            <w:tcBorders>
              <w:top w:val="nil"/>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Participant</w:t>
            </w:r>
          </w:p>
        </w:tc>
        <w:tc>
          <w:tcPr>
            <w:tcW w:w="1020" w:type="dxa"/>
            <w:tcBorders>
              <w:top w:val="nil"/>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Left</w:t>
            </w:r>
          </w:p>
        </w:tc>
        <w:tc>
          <w:tcPr>
            <w:tcW w:w="1140" w:type="dxa"/>
            <w:tcBorders>
              <w:top w:val="nil"/>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Central</w:t>
            </w:r>
          </w:p>
        </w:tc>
        <w:tc>
          <w:tcPr>
            <w:tcW w:w="1020" w:type="dxa"/>
            <w:tcBorders>
              <w:top w:val="nil"/>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Right</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27.2</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19.0</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8.9</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2</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-11.8</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-63.2</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78.9</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3</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-19.7</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-33.9</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76.2</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4</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-24.7</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30.9</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77.1</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5</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-162.8</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-66.0</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-102.8</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6</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-7.8</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-41.1</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25.3</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7</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30.1</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12.2</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36.4</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8</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86.5</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-7.2</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-62.0</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9</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-93.5</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80.3</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-41.7</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10</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44.8</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88.0</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119.6</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11</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3.2</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4.4</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21.1</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lastRenderedPageBreak/>
              <w:t>12</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-55.3</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-8.9</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13.2</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13</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3.8</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20.3</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-60.4</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14</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-6.4</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-66.8</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35.3</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15</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-105.7</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-30.4</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56.1</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16</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-23.2</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10.0</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-36.2</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17</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139.3</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-98.8</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124.8</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18</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-72.5</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-33.1</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10.7</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19</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-13.8</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10.1</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7.6</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20</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9.3</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17.0</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10.8</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21</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-31.1</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54.6</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7.3</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22</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98.7</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56.6</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2.1</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23</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-6.6</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15.2</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103.9</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24</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-132.5</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-13.6</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106.3</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25</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-114.0</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18.9</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-19.8</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26</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-36.2</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-29.9</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-55.6</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27</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-135.6</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-4.0</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-27.9</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28</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4.3</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10.1</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-64.6</w:t>
            </w:r>
          </w:p>
        </w:tc>
      </w:tr>
      <w:tr w:rsidR="004A651F">
        <w:trPr>
          <w:trHeight w:val="500"/>
        </w:trPr>
        <w:tc>
          <w:tcPr>
            <w:tcW w:w="136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29</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-70.6</w:t>
            </w:r>
          </w:p>
        </w:tc>
        <w:tc>
          <w:tcPr>
            <w:tcW w:w="114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-37.0</w:t>
            </w:r>
          </w:p>
        </w:tc>
        <w:tc>
          <w:tcPr>
            <w:tcW w:w="102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-17.6</w:t>
            </w:r>
          </w:p>
        </w:tc>
      </w:tr>
      <w:tr w:rsidR="004A651F">
        <w:tc>
          <w:tcPr>
            <w:tcW w:w="1365" w:type="dxa"/>
            <w:tcBorders>
              <w:top w:val="nil"/>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30</w:t>
            </w:r>
          </w:p>
        </w:tc>
        <w:tc>
          <w:tcPr>
            <w:tcW w:w="1020" w:type="dxa"/>
            <w:tcBorders>
              <w:top w:val="nil"/>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-1.2</w:t>
            </w:r>
          </w:p>
        </w:tc>
        <w:tc>
          <w:tcPr>
            <w:tcW w:w="1140" w:type="dxa"/>
            <w:tcBorders>
              <w:top w:val="nil"/>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32.2</w:t>
            </w:r>
          </w:p>
        </w:tc>
        <w:tc>
          <w:tcPr>
            <w:tcW w:w="1020" w:type="dxa"/>
            <w:tcBorders>
              <w:top w:val="nil"/>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-35.1</w:t>
            </w:r>
          </w:p>
        </w:tc>
      </w:tr>
    </w:tbl>
    <w:p w:rsidR="004A651F" w:rsidRDefault="004A651F">
      <w:pPr>
        <w:spacing w:line="480" w:lineRule="auto"/>
        <w:rPr>
          <w:rFonts w:ascii="Times New Roman" w:eastAsia="Times New Roman" w:hAnsi="Times New Roman" w:cs="Times New Roman"/>
        </w:rPr>
      </w:pPr>
    </w:p>
    <w:p w:rsidR="004A651F" w:rsidRDefault="004A651F">
      <w:pPr>
        <w:spacing w:line="480" w:lineRule="auto"/>
        <w:ind w:left="720" w:hanging="720"/>
        <w:rPr>
          <w:rFonts w:ascii="Times New Roman" w:eastAsia="Times New Roman" w:hAnsi="Times New Roman" w:cs="Times New Roman"/>
        </w:rPr>
      </w:pPr>
    </w:p>
    <w:p w:rsidR="004A651F" w:rsidRPr="00C33220" w:rsidRDefault="00FF3908">
      <w:pPr>
        <w:spacing w:line="480" w:lineRule="auto"/>
        <w:rPr>
          <w:rFonts w:ascii="Times New Roman" w:eastAsia="Times New Roman" w:hAnsi="Times New Roman" w:cs="Times New Roman"/>
        </w:rPr>
      </w:pPr>
      <w:r>
        <w:br w:type="page"/>
      </w:r>
      <w:r w:rsidR="00C33220">
        <w:rPr>
          <w:rFonts w:ascii="Times New Roman" w:eastAsia="Times New Roman" w:hAnsi="Times New Roman" w:cs="Times New Roman"/>
          <w:b/>
        </w:rPr>
        <w:lastRenderedPageBreak/>
        <w:t xml:space="preserve">Supplemental Materials </w:t>
      </w:r>
      <w:r w:rsidR="00C33220">
        <w:rPr>
          <w:rFonts w:ascii="Times New Roman" w:eastAsia="Times New Roman" w:hAnsi="Times New Roman" w:cs="Times New Roman"/>
          <w:b/>
        </w:rPr>
        <w:t>B</w:t>
      </w:r>
      <w:r w:rsidR="00C33220">
        <w:rPr>
          <w:rFonts w:ascii="Times New Roman" w:eastAsia="Times New Roman" w:hAnsi="Times New Roman" w:cs="Times New Roman"/>
          <w:b/>
        </w:rPr>
        <w:t xml:space="preserve">: </w:t>
      </w:r>
      <w:r>
        <w:rPr>
          <w:rFonts w:ascii="Times New Roman" w:eastAsia="Times New Roman" w:hAnsi="Times New Roman" w:cs="Times New Roman"/>
          <w:b/>
        </w:rPr>
        <w:t>Inclusion criteria for the meta-analysis:</w:t>
      </w:r>
    </w:p>
    <w:p w:rsidR="004A651F" w:rsidRDefault="004A651F">
      <w:pPr>
        <w:spacing w:line="480" w:lineRule="auto"/>
        <w:rPr>
          <w:rFonts w:ascii="Times New Roman" w:eastAsia="Times New Roman" w:hAnsi="Times New Roman" w:cs="Times New Roman"/>
          <w:b/>
        </w:rPr>
      </w:pPr>
    </w:p>
    <w:p w:rsidR="004A651F" w:rsidRDefault="00FF3908">
      <w:pPr>
        <w:numPr>
          <w:ilvl w:val="0"/>
          <w:numId w:val="1"/>
        </w:numPr>
        <w:shd w:val="clear" w:color="auto" w:fill="FFFFFF"/>
        <w:spacing w:line="480" w:lineRule="auto"/>
        <w:rPr>
          <w:rFonts w:ascii="Times New Roman" w:eastAsia="Times New Roman" w:hAnsi="Times New Roman" w:cs="Times New Roman"/>
        </w:rPr>
      </w:pPr>
      <w:r>
        <w:rPr>
          <w:rFonts w:ascii="Times New Roman" w:eastAsia="Times New Roman" w:hAnsi="Times New Roman" w:cs="Times New Roman"/>
        </w:rPr>
        <w:t>The study investigated the effect of experimentally manipulated orthographic neighbourhood size during a lateralized lexical decision task. Manipulations of N and visual field must be within subjects and the visual field manipulation must include at least left and right visual field presentation.*</w:t>
      </w:r>
    </w:p>
    <w:p w:rsidR="004A651F" w:rsidRDefault="00FF3908">
      <w:pPr>
        <w:numPr>
          <w:ilvl w:val="0"/>
          <w:numId w:val="1"/>
        </w:numPr>
        <w:shd w:val="clear" w:color="auto" w:fill="FFFFFF"/>
        <w:spacing w:line="480" w:lineRule="auto"/>
        <w:rPr>
          <w:rFonts w:ascii="Times New Roman" w:eastAsia="Times New Roman" w:hAnsi="Times New Roman" w:cs="Times New Roman"/>
        </w:rPr>
      </w:pPr>
      <w:r>
        <w:rPr>
          <w:rFonts w:ascii="Times New Roman" w:eastAsia="Times New Roman" w:hAnsi="Times New Roman" w:cs="Times New Roman"/>
        </w:rPr>
        <w:t>The study reported lexical decision reaction times.</w:t>
      </w:r>
    </w:p>
    <w:p w:rsidR="004A651F" w:rsidRDefault="00FF3908">
      <w:pPr>
        <w:numPr>
          <w:ilvl w:val="0"/>
          <w:numId w:val="1"/>
        </w:numPr>
        <w:shd w:val="clear" w:color="auto" w:fill="FFFFFF"/>
        <w:spacing w:line="480" w:lineRule="auto"/>
        <w:rPr>
          <w:rFonts w:ascii="Times New Roman" w:eastAsia="Times New Roman" w:hAnsi="Times New Roman" w:cs="Times New Roman"/>
        </w:rPr>
      </w:pPr>
      <w:r>
        <w:rPr>
          <w:rFonts w:ascii="Times New Roman" w:eastAsia="Times New Roman" w:hAnsi="Times New Roman" w:cs="Times New Roman"/>
        </w:rPr>
        <w:t>The study did not involve priming.</w:t>
      </w:r>
    </w:p>
    <w:p w:rsidR="004A651F" w:rsidRDefault="00FF3908">
      <w:pPr>
        <w:numPr>
          <w:ilvl w:val="0"/>
          <w:numId w:val="1"/>
        </w:numPr>
        <w:shd w:val="clear" w:color="auto" w:fill="FFFFFF"/>
        <w:spacing w:line="480" w:lineRule="auto"/>
        <w:rPr>
          <w:rFonts w:ascii="Times New Roman" w:eastAsia="Times New Roman" w:hAnsi="Times New Roman" w:cs="Times New Roman"/>
        </w:rPr>
      </w:pPr>
      <w:r>
        <w:rPr>
          <w:rFonts w:ascii="Times New Roman" w:eastAsia="Times New Roman" w:hAnsi="Times New Roman" w:cs="Times New Roman"/>
        </w:rPr>
        <w:t>The study used an alphabetic language that is read from left to right.</w:t>
      </w:r>
    </w:p>
    <w:p w:rsidR="004A651F" w:rsidRDefault="00FF3908">
      <w:pPr>
        <w:numPr>
          <w:ilvl w:val="0"/>
          <w:numId w:val="1"/>
        </w:numPr>
        <w:shd w:val="clear" w:color="auto" w:fill="FFFFFF"/>
        <w:spacing w:line="480" w:lineRule="auto"/>
        <w:rPr>
          <w:rFonts w:ascii="Times New Roman" w:eastAsia="Times New Roman" w:hAnsi="Times New Roman" w:cs="Times New Roman"/>
        </w:rPr>
      </w:pPr>
      <w:r>
        <w:rPr>
          <w:rFonts w:ascii="Times New Roman" w:eastAsia="Times New Roman" w:hAnsi="Times New Roman" w:cs="Times New Roman"/>
        </w:rPr>
        <w:t>Participants were native readers of the language used for the lexical decision task.</w:t>
      </w:r>
    </w:p>
    <w:p w:rsidR="004A651F" w:rsidRDefault="00FF3908">
      <w:pPr>
        <w:numPr>
          <w:ilvl w:val="0"/>
          <w:numId w:val="1"/>
        </w:numPr>
        <w:shd w:val="clear" w:color="auto" w:fill="FFFFFF"/>
        <w:spacing w:line="480" w:lineRule="auto"/>
        <w:rPr>
          <w:rFonts w:ascii="Times New Roman" w:eastAsia="Times New Roman" w:hAnsi="Times New Roman" w:cs="Times New Roman"/>
        </w:rPr>
      </w:pPr>
      <w:r>
        <w:rPr>
          <w:rFonts w:ascii="Times New Roman" w:eastAsia="Times New Roman" w:hAnsi="Times New Roman" w:cs="Times New Roman"/>
        </w:rPr>
        <w:t>People with history language impairment or dyslexia, or any neurological condition such as epilepsy were excluded. If there is no explicit mention of these factors, then it will be assumed they did not apply.*</w:t>
      </w:r>
    </w:p>
    <w:p w:rsidR="004A651F" w:rsidRDefault="00FF3908">
      <w:pPr>
        <w:numPr>
          <w:ilvl w:val="0"/>
          <w:numId w:val="1"/>
        </w:numPr>
        <w:shd w:val="clear" w:color="auto" w:fill="FFFFFF"/>
        <w:spacing w:line="480" w:lineRule="auto"/>
        <w:rPr>
          <w:rFonts w:ascii="Times New Roman" w:eastAsia="Times New Roman" w:hAnsi="Times New Roman" w:cs="Times New Roman"/>
        </w:rPr>
      </w:pPr>
      <w:r>
        <w:rPr>
          <w:rFonts w:ascii="Times New Roman" w:eastAsia="Times New Roman" w:hAnsi="Times New Roman" w:cs="Times New Roman"/>
        </w:rPr>
        <w:t>Participants in the studies were aged between 18 and 50 years old.</w:t>
      </w:r>
    </w:p>
    <w:p w:rsidR="004A651F" w:rsidRDefault="004A651F">
      <w:pPr>
        <w:shd w:val="clear" w:color="auto" w:fill="FFFFFF"/>
        <w:spacing w:line="480" w:lineRule="auto"/>
        <w:rPr>
          <w:rFonts w:ascii="Times New Roman" w:eastAsia="Times New Roman" w:hAnsi="Times New Roman" w:cs="Times New Roman"/>
        </w:rPr>
      </w:pPr>
    </w:p>
    <w:p w:rsidR="004A651F" w:rsidRDefault="00FF3908">
      <w:pPr>
        <w:shd w:val="clear" w:color="auto" w:fill="FFFFFF"/>
        <w:spacing w:line="480" w:lineRule="auto"/>
        <w:rPr>
          <w:rFonts w:ascii="Times New Roman" w:eastAsia="Times New Roman" w:hAnsi="Times New Roman" w:cs="Times New Roman"/>
        </w:rPr>
      </w:pPr>
      <w:r>
        <w:rPr>
          <w:rFonts w:ascii="Times New Roman" w:eastAsia="Times New Roman" w:hAnsi="Times New Roman" w:cs="Times New Roman"/>
        </w:rPr>
        <w:t>* Note. Studies which include additional manipulations will be included. We will aggregate data across these conditions so that we have cell means for the 2 (</w:t>
      </w:r>
      <w:proofErr w:type="spellStart"/>
      <w:r>
        <w:rPr>
          <w:rFonts w:ascii="Times New Roman" w:eastAsia="Times New Roman" w:hAnsi="Times New Roman" w:cs="Times New Roman"/>
        </w:rPr>
        <w:t>Nsize</w:t>
      </w:r>
      <w:proofErr w:type="spellEnd"/>
      <w:r>
        <w:rPr>
          <w:rFonts w:ascii="Times New Roman" w:eastAsia="Times New Roman" w:hAnsi="Times New Roman" w:cs="Times New Roman"/>
        </w:rPr>
        <w:t>) by 2 (visual field)</w:t>
      </w:r>
    </w:p>
    <w:p w:rsidR="004A651F" w:rsidRDefault="00FF3908">
      <w:pPr>
        <w:shd w:val="clear" w:color="auto" w:fill="FFFFFF"/>
        <w:spacing w:line="480" w:lineRule="auto"/>
        <w:rPr>
          <w:rFonts w:ascii="Times New Roman" w:eastAsia="Times New Roman" w:hAnsi="Times New Roman" w:cs="Times New Roman"/>
        </w:rPr>
      </w:pPr>
      <w:r>
        <w:rPr>
          <w:rFonts w:ascii="Times New Roman" w:eastAsia="Times New Roman" w:hAnsi="Times New Roman" w:cs="Times New Roman"/>
        </w:rPr>
        <w:t>manipulation, so long as the manipulation was within item.</w:t>
      </w:r>
    </w:p>
    <w:p w:rsidR="004A651F" w:rsidRDefault="00FF3908">
      <w:pPr>
        <w:shd w:val="clear" w:color="auto" w:fill="FFFFFF"/>
        <w:spacing w:line="480" w:lineRule="auto"/>
        <w:rPr>
          <w:rFonts w:ascii="Times New Roman" w:eastAsia="Times New Roman" w:hAnsi="Times New Roman" w:cs="Times New Roman"/>
        </w:rPr>
      </w:pPr>
      <w:r>
        <w:rPr>
          <w:rFonts w:ascii="Times New Roman" w:eastAsia="Times New Roman" w:hAnsi="Times New Roman" w:cs="Times New Roman"/>
        </w:rPr>
        <w:t>** If studies include control groups (i.e. those without language impairment or dyslexia), we will include data for the control group in our analysis.</w:t>
      </w:r>
      <w:r>
        <w:br w:type="page"/>
      </w:r>
    </w:p>
    <w:p w:rsidR="004A651F" w:rsidRDefault="00C33220">
      <w:pPr>
        <w:spacing w:line="48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Supplemental Materials </w:t>
      </w:r>
      <w:r>
        <w:rPr>
          <w:rFonts w:ascii="Times New Roman" w:eastAsia="Times New Roman" w:hAnsi="Times New Roman" w:cs="Times New Roman"/>
          <w:b/>
        </w:rPr>
        <w:t>C</w:t>
      </w:r>
      <w:r>
        <w:rPr>
          <w:rFonts w:ascii="Times New Roman" w:eastAsia="Times New Roman" w:hAnsi="Times New Roman" w:cs="Times New Roman"/>
          <w:b/>
        </w:rPr>
        <w:t xml:space="preserve">: </w:t>
      </w:r>
      <w:r w:rsidR="00FF3908">
        <w:rPr>
          <w:rFonts w:ascii="Times New Roman" w:eastAsia="Times New Roman" w:hAnsi="Times New Roman" w:cs="Times New Roman"/>
          <w:b/>
        </w:rPr>
        <w:t>Visualisation of publication bias</w:t>
      </w:r>
    </w:p>
    <w:p w:rsidR="004A651F" w:rsidRDefault="00FF3908">
      <w:pPr>
        <w:spacing w:line="48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4572000" cy="4572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572000" cy="4572000"/>
                    </a:xfrm>
                    <a:prstGeom prst="rect">
                      <a:avLst/>
                    </a:prstGeom>
                    <a:ln/>
                  </pic:spPr>
                </pic:pic>
              </a:graphicData>
            </a:graphic>
          </wp:inline>
        </w:drawing>
      </w:r>
    </w:p>
    <w:p w:rsidR="004A651F" w:rsidRDefault="00FF3908">
      <w:pPr>
        <w:rPr>
          <w:rFonts w:ascii="Times New Roman" w:eastAsia="Times New Roman" w:hAnsi="Times New Roman" w:cs="Times New Roman"/>
        </w:rPr>
      </w:pPr>
      <w:r>
        <w:rPr>
          <w:rFonts w:ascii="Times New Roman" w:eastAsia="Times New Roman" w:hAnsi="Times New Roman" w:cs="Times New Roman"/>
        </w:rPr>
        <w:t>Figure S1. Funnel plots of the studies included in the meta-analysis for the LVF. In the absence of bias, more precise studies are expected to appear narrowly at the top of the plot, whereas less precise studies are expected to scatter more widely at the bottom of the plot.</w:t>
      </w:r>
    </w:p>
    <w:p w:rsidR="004A651F" w:rsidRDefault="004A651F">
      <w:pPr>
        <w:rPr>
          <w:rFonts w:ascii="Times New Roman" w:eastAsia="Times New Roman" w:hAnsi="Times New Roman" w:cs="Times New Roman"/>
        </w:rPr>
      </w:pPr>
    </w:p>
    <w:p w:rsidR="004A651F" w:rsidRDefault="00FF3908">
      <w:pPr>
        <w:spacing w:line="480" w:lineRule="auto"/>
        <w:jc w:val="center"/>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extent cx="4572000" cy="4572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572000" cy="4572000"/>
                    </a:xfrm>
                    <a:prstGeom prst="rect">
                      <a:avLst/>
                    </a:prstGeom>
                    <a:ln/>
                  </pic:spPr>
                </pic:pic>
              </a:graphicData>
            </a:graphic>
          </wp:inline>
        </w:drawing>
      </w:r>
    </w:p>
    <w:p w:rsidR="004A651F" w:rsidRDefault="00FF3908">
      <w:pPr>
        <w:rPr>
          <w:rFonts w:ascii="Times New Roman" w:eastAsia="Times New Roman" w:hAnsi="Times New Roman" w:cs="Times New Roman"/>
        </w:rPr>
      </w:pPr>
      <w:r>
        <w:rPr>
          <w:rFonts w:ascii="Times New Roman" w:eastAsia="Times New Roman" w:hAnsi="Times New Roman" w:cs="Times New Roman"/>
        </w:rPr>
        <w:t>Figure S2. Funnel plots of the studies included in the meta-analysis for the RVF. In the absence of bias, more precise studies are expected to appear narrowly at the top of the plot, whereas less precise studies are expected to scatter more widely at the bottom of the plot.</w:t>
      </w:r>
    </w:p>
    <w:p w:rsidR="004A651F" w:rsidRDefault="004A651F">
      <w:pPr>
        <w:rPr>
          <w:rFonts w:ascii="Times New Roman" w:eastAsia="Times New Roman" w:hAnsi="Times New Roman" w:cs="Times New Roman"/>
        </w:rPr>
      </w:pPr>
    </w:p>
    <w:p w:rsidR="004A651F" w:rsidRDefault="00FF3908">
      <w:pPr>
        <w:rPr>
          <w:rFonts w:ascii="Times New Roman" w:eastAsia="Times New Roman" w:hAnsi="Times New Roman" w:cs="Times New Roman"/>
        </w:rPr>
      </w:pPr>
      <w:r>
        <w:br w:type="page"/>
      </w:r>
    </w:p>
    <w:p w:rsidR="004A651F" w:rsidRDefault="00C33220">
      <w:pPr>
        <w:spacing w:line="48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Supplemental Materials </w:t>
      </w:r>
      <w:r>
        <w:rPr>
          <w:rFonts w:ascii="Times New Roman" w:eastAsia="Times New Roman" w:hAnsi="Times New Roman" w:cs="Times New Roman"/>
          <w:b/>
        </w:rPr>
        <w:t>D</w:t>
      </w:r>
      <w:r>
        <w:rPr>
          <w:rFonts w:ascii="Times New Roman" w:eastAsia="Times New Roman" w:hAnsi="Times New Roman" w:cs="Times New Roman"/>
          <w:b/>
        </w:rPr>
        <w:t xml:space="preserve">: </w:t>
      </w:r>
      <w:r w:rsidR="00FF3908">
        <w:rPr>
          <w:rFonts w:ascii="Times New Roman" w:eastAsia="Times New Roman" w:hAnsi="Times New Roman" w:cs="Times New Roman"/>
          <w:b/>
        </w:rPr>
        <w:t>AXIS scoring</w:t>
      </w:r>
    </w:p>
    <w:p w:rsidR="004A651F" w:rsidRDefault="004A651F">
      <w:pPr>
        <w:jc w:val="center"/>
        <w:rPr>
          <w:rFonts w:ascii="Times New Roman" w:eastAsia="Times New Roman" w:hAnsi="Times New Roman" w:cs="Times New Roman"/>
          <w:b/>
        </w:rPr>
      </w:pPr>
    </w:p>
    <w:p w:rsidR="004A651F" w:rsidRDefault="00FF3908">
      <w:pPr>
        <w:rPr>
          <w:rFonts w:ascii="Times New Roman" w:eastAsia="Times New Roman" w:hAnsi="Times New Roman" w:cs="Times New Roman"/>
        </w:rPr>
      </w:pPr>
      <w:r>
        <w:rPr>
          <w:rFonts w:ascii="Times New Roman" w:eastAsia="Times New Roman" w:hAnsi="Times New Roman" w:cs="Times New Roman"/>
        </w:rPr>
        <w:t>Table S2. AXIS score for each article included in the meta-analysis.</w:t>
      </w:r>
    </w:p>
    <w:tbl>
      <w:tblPr>
        <w:tblStyle w:val="a0"/>
        <w:tblW w:w="6510" w:type="dxa"/>
        <w:tblBorders>
          <w:top w:val="nil"/>
          <w:left w:val="nil"/>
          <w:bottom w:val="nil"/>
          <w:right w:val="nil"/>
          <w:insideH w:val="nil"/>
          <w:insideV w:val="nil"/>
        </w:tblBorders>
        <w:tblLayout w:type="fixed"/>
        <w:tblLook w:val="0600" w:firstRow="0" w:lastRow="0" w:firstColumn="0" w:lastColumn="0" w:noHBand="1" w:noVBand="1"/>
      </w:tblPr>
      <w:tblGrid>
        <w:gridCol w:w="3075"/>
        <w:gridCol w:w="1635"/>
        <w:gridCol w:w="1800"/>
      </w:tblGrid>
      <w:tr w:rsidR="004A651F">
        <w:trPr>
          <w:trHeight w:val="500"/>
        </w:trPr>
        <w:tc>
          <w:tcPr>
            <w:tcW w:w="3075"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tcPr>
          <w:p w:rsidR="004A651F" w:rsidRDefault="00FF3908">
            <w:pPr>
              <w:rPr>
                <w:rFonts w:ascii="Times New Roman" w:eastAsia="Times New Roman" w:hAnsi="Times New Roman" w:cs="Times New Roman"/>
              </w:rPr>
            </w:pPr>
            <w:r>
              <w:rPr>
                <w:rFonts w:ascii="Times New Roman" w:eastAsia="Times New Roman" w:hAnsi="Times New Roman" w:cs="Times New Roman"/>
              </w:rPr>
              <w:t xml:space="preserve"> </w:t>
            </w:r>
          </w:p>
        </w:tc>
        <w:tc>
          <w:tcPr>
            <w:tcW w:w="3435" w:type="dxa"/>
            <w:gridSpan w:val="2"/>
            <w:tcBorders>
              <w:top w:val="single" w:sz="8" w:space="0" w:color="000000"/>
              <w:left w:val="nil"/>
              <w:bottom w:val="single" w:sz="8" w:space="0" w:color="000000"/>
              <w:right w:val="single" w:sz="8" w:space="0" w:color="FFFFFF"/>
            </w:tcBorders>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AXIS score</w:t>
            </w:r>
          </w:p>
        </w:tc>
      </w:tr>
      <w:tr w:rsidR="004A651F">
        <w:trPr>
          <w:trHeight w:val="485"/>
        </w:trPr>
        <w:tc>
          <w:tcPr>
            <w:tcW w:w="3075" w:type="dxa"/>
            <w:tcBorders>
              <w:top w:val="nil"/>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rPr>
                <w:rFonts w:ascii="Times New Roman" w:eastAsia="Times New Roman" w:hAnsi="Times New Roman" w:cs="Times New Roman"/>
              </w:rPr>
            </w:pPr>
            <w:r>
              <w:rPr>
                <w:rFonts w:ascii="Times New Roman" w:eastAsia="Times New Roman" w:hAnsi="Times New Roman" w:cs="Times New Roman"/>
              </w:rPr>
              <w:t>Article</w:t>
            </w:r>
          </w:p>
        </w:tc>
        <w:tc>
          <w:tcPr>
            <w:tcW w:w="1635" w:type="dxa"/>
            <w:tcBorders>
              <w:top w:val="nil"/>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Reviewer 1</w:t>
            </w:r>
          </w:p>
        </w:tc>
        <w:tc>
          <w:tcPr>
            <w:tcW w:w="1800" w:type="dxa"/>
            <w:tcBorders>
              <w:top w:val="nil"/>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Reviewer 2</w:t>
            </w:r>
          </w:p>
        </w:tc>
      </w:tr>
      <w:tr w:rsidR="004A651F">
        <w:trPr>
          <w:trHeight w:val="500"/>
        </w:trPr>
        <w:tc>
          <w:tcPr>
            <w:tcW w:w="307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rPr>
                <w:rFonts w:ascii="Times New Roman" w:eastAsia="Times New Roman" w:hAnsi="Times New Roman" w:cs="Times New Roman"/>
              </w:rPr>
            </w:pPr>
            <w:proofErr w:type="spellStart"/>
            <w:r>
              <w:rPr>
                <w:rFonts w:ascii="Times New Roman" w:eastAsia="Times New Roman" w:hAnsi="Times New Roman" w:cs="Times New Roman"/>
              </w:rPr>
              <w:t>Lavidor</w:t>
            </w:r>
            <w:proofErr w:type="spellEnd"/>
            <w:r>
              <w:rPr>
                <w:rFonts w:ascii="Times New Roman" w:eastAsia="Times New Roman" w:hAnsi="Times New Roman" w:cs="Times New Roman"/>
              </w:rPr>
              <w:t xml:space="preserve"> &amp; Ellis (2001)</w:t>
            </w:r>
          </w:p>
        </w:tc>
        <w:tc>
          <w:tcPr>
            <w:tcW w:w="1635"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10</w:t>
            </w:r>
          </w:p>
        </w:tc>
        <w:tc>
          <w:tcPr>
            <w:tcW w:w="180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10</w:t>
            </w:r>
          </w:p>
        </w:tc>
      </w:tr>
      <w:tr w:rsidR="004A651F">
        <w:trPr>
          <w:trHeight w:val="500"/>
        </w:trPr>
        <w:tc>
          <w:tcPr>
            <w:tcW w:w="307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rPr>
                <w:rFonts w:ascii="Times New Roman" w:eastAsia="Times New Roman" w:hAnsi="Times New Roman" w:cs="Times New Roman"/>
              </w:rPr>
            </w:pPr>
            <w:proofErr w:type="spellStart"/>
            <w:r>
              <w:rPr>
                <w:rFonts w:ascii="Times New Roman" w:eastAsia="Times New Roman" w:hAnsi="Times New Roman" w:cs="Times New Roman"/>
              </w:rPr>
              <w:t>Lavidor</w:t>
            </w:r>
            <w:proofErr w:type="spellEnd"/>
            <w:r>
              <w:rPr>
                <w:rFonts w:ascii="Times New Roman" w:eastAsia="Times New Roman" w:hAnsi="Times New Roman" w:cs="Times New Roman"/>
              </w:rPr>
              <w:t xml:space="preserve"> &amp; Ellis (2002)</w:t>
            </w:r>
          </w:p>
        </w:tc>
        <w:tc>
          <w:tcPr>
            <w:tcW w:w="1635"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9</w:t>
            </w:r>
          </w:p>
        </w:tc>
        <w:tc>
          <w:tcPr>
            <w:tcW w:w="180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9</w:t>
            </w:r>
          </w:p>
        </w:tc>
      </w:tr>
      <w:tr w:rsidR="004A651F">
        <w:trPr>
          <w:trHeight w:val="485"/>
        </w:trPr>
        <w:tc>
          <w:tcPr>
            <w:tcW w:w="307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rPr>
                <w:rFonts w:ascii="Times New Roman" w:eastAsia="Times New Roman" w:hAnsi="Times New Roman" w:cs="Times New Roman"/>
              </w:rPr>
            </w:pPr>
            <w:proofErr w:type="spellStart"/>
            <w:r>
              <w:rPr>
                <w:rFonts w:ascii="Times New Roman" w:eastAsia="Times New Roman" w:hAnsi="Times New Roman" w:cs="Times New Roman"/>
              </w:rPr>
              <w:t>Lavidor</w:t>
            </w:r>
            <w:proofErr w:type="spellEnd"/>
            <w:r>
              <w:rPr>
                <w:rFonts w:ascii="Times New Roman" w:eastAsia="Times New Roman" w:hAnsi="Times New Roman" w:cs="Times New Roman"/>
              </w:rPr>
              <w:t xml:space="preserve"> et al. (2006)</w:t>
            </w:r>
          </w:p>
        </w:tc>
        <w:tc>
          <w:tcPr>
            <w:tcW w:w="1635"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6</w:t>
            </w:r>
          </w:p>
        </w:tc>
        <w:tc>
          <w:tcPr>
            <w:tcW w:w="180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7</w:t>
            </w:r>
          </w:p>
        </w:tc>
      </w:tr>
      <w:tr w:rsidR="004A651F">
        <w:trPr>
          <w:trHeight w:val="500"/>
        </w:trPr>
        <w:tc>
          <w:tcPr>
            <w:tcW w:w="307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rPr>
                <w:rFonts w:ascii="Times New Roman" w:eastAsia="Times New Roman" w:hAnsi="Times New Roman" w:cs="Times New Roman"/>
              </w:rPr>
            </w:pPr>
            <w:proofErr w:type="spellStart"/>
            <w:r>
              <w:rPr>
                <w:rFonts w:ascii="Times New Roman" w:eastAsia="Times New Roman" w:hAnsi="Times New Roman" w:cs="Times New Roman"/>
              </w:rPr>
              <w:t>Perea</w:t>
            </w:r>
            <w:proofErr w:type="spellEnd"/>
            <w:r>
              <w:rPr>
                <w:rFonts w:ascii="Times New Roman" w:eastAsia="Times New Roman" w:hAnsi="Times New Roman" w:cs="Times New Roman"/>
              </w:rPr>
              <w:t xml:space="preserve"> et al. (2008)</w:t>
            </w:r>
          </w:p>
        </w:tc>
        <w:tc>
          <w:tcPr>
            <w:tcW w:w="1635"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9</w:t>
            </w:r>
          </w:p>
        </w:tc>
        <w:tc>
          <w:tcPr>
            <w:tcW w:w="180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8</w:t>
            </w:r>
          </w:p>
        </w:tc>
      </w:tr>
      <w:tr w:rsidR="004A651F">
        <w:trPr>
          <w:trHeight w:val="500"/>
        </w:trPr>
        <w:tc>
          <w:tcPr>
            <w:tcW w:w="3075"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rPr>
                <w:rFonts w:ascii="Times New Roman" w:eastAsia="Times New Roman" w:hAnsi="Times New Roman" w:cs="Times New Roman"/>
              </w:rPr>
            </w:pPr>
            <w:r>
              <w:rPr>
                <w:rFonts w:ascii="Times New Roman" w:eastAsia="Times New Roman" w:hAnsi="Times New Roman" w:cs="Times New Roman"/>
              </w:rPr>
              <w:t>Mano et al. (2010)</w:t>
            </w:r>
          </w:p>
        </w:tc>
        <w:tc>
          <w:tcPr>
            <w:tcW w:w="1635"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11</w:t>
            </w:r>
          </w:p>
        </w:tc>
        <w:tc>
          <w:tcPr>
            <w:tcW w:w="1800"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11</w:t>
            </w:r>
          </w:p>
        </w:tc>
      </w:tr>
      <w:tr w:rsidR="004A651F">
        <w:trPr>
          <w:trHeight w:val="485"/>
        </w:trPr>
        <w:tc>
          <w:tcPr>
            <w:tcW w:w="3075" w:type="dxa"/>
            <w:tcBorders>
              <w:top w:val="nil"/>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rPr>
                <w:rFonts w:ascii="Times New Roman" w:eastAsia="Times New Roman" w:hAnsi="Times New Roman" w:cs="Times New Roman"/>
              </w:rPr>
            </w:pPr>
            <w:r>
              <w:rPr>
                <w:rFonts w:ascii="Times New Roman" w:eastAsia="Times New Roman" w:hAnsi="Times New Roman" w:cs="Times New Roman"/>
              </w:rPr>
              <w:t xml:space="preserve">Whitney &amp; </w:t>
            </w:r>
            <w:proofErr w:type="spellStart"/>
            <w:r>
              <w:rPr>
                <w:rFonts w:ascii="Times New Roman" w:eastAsia="Times New Roman" w:hAnsi="Times New Roman" w:cs="Times New Roman"/>
              </w:rPr>
              <w:t>Lavidor</w:t>
            </w:r>
            <w:proofErr w:type="spellEnd"/>
            <w:r>
              <w:rPr>
                <w:rFonts w:ascii="Times New Roman" w:eastAsia="Times New Roman" w:hAnsi="Times New Roman" w:cs="Times New Roman"/>
              </w:rPr>
              <w:t xml:space="preserve"> (2005)</w:t>
            </w:r>
          </w:p>
        </w:tc>
        <w:tc>
          <w:tcPr>
            <w:tcW w:w="1635" w:type="dxa"/>
            <w:tcBorders>
              <w:top w:val="nil"/>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8</w:t>
            </w:r>
          </w:p>
        </w:tc>
        <w:tc>
          <w:tcPr>
            <w:tcW w:w="1800" w:type="dxa"/>
            <w:tcBorders>
              <w:top w:val="nil"/>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8</w:t>
            </w:r>
          </w:p>
        </w:tc>
      </w:tr>
    </w:tbl>
    <w:p w:rsidR="004A651F" w:rsidRDefault="00FF3908">
      <w:pPr>
        <w:rPr>
          <w:rFonts w:ascii="Times New Roman" w:eastAsia="Times New Roman" w:hAnsi="Times New Roman" w:cs="Times New Roman"/>
        </w:rPr>
      </w:pPr>
      <w:r>
        <w:rPr>
          <w:rFonts w:ascii="Times New Roman" w:eastAsia="Times New Roman" w:hAnsi="Times New Roman" w:cs="Times New Roman"/>
          <w:i/>
        </w:rPr>
        <w:t>Note</w:t>
      </w:r>
      <w:r>
        <w:rPr>
          <w:rFonts w:ascii="Times New Roman" w:eastAsia="Times New Roman" w:hAnsi="Times New Roman" w:cs="Times New Roman"/>
        </w:rPr>
        <w:t>. Scores could range between 0 and 15.</w:t>
      </w:r>
    </w:p>
    <w:p w:rsidR="004A651F" w:rsidRDefault="004A651F">
      <w:pPr>
        <w:shd w:val="clear" w:color="auto" w:fill="FFFFFF"/>
        <w:spacing w:line="480" w:lineRule="auto"/>
        <w:rPr>
          <w:rFonts w:ascii="Times New Roman" w:eastAsia="Times New Roman" w:hAnsi="Times New Roman" w:cs="Times New Roman"/>
        </w:rPr>
      </w:pPr>
    </w:p>
    <w:p w:rsidR="004A651F" w:rsidRDefault="00FF3908">
      <w:pPr>
        <w:shd w:val="clear" w:color="auto" w:fill="FFFFFF"/>
        <w:spacing w:line="480" w:lineRule="auto"/>
        <w:rPr>
          <w:rFonts w:ascii="Times New Roman" w:eastAsia="Times New Roman" w:hAnsi="Times New Roman" w:cs="Times New Roman"/>
        </w:rPr>
      </w:pPr>
      <w:r>
        <w:br w:type="page"/>
      </w:r>
    </w:p>
    <w:p w:rsidR="004A651F" w:rsidRDefault="00C33220">
      <w:pPr>
        <w:spacing w:line="48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Supplemental Materials </w:t>
      </w:r>
      <w:bookmarkStart w:id="0" w:name="_GoBack"/>
      <w:r>
        <w:rPr>
          <w:rFonts w:ascii="Times New Roman" w:eastAsia="Times New Roman" w:hAnsi="Times New Roman" w:cs="Times New Roman"/>
          <w:b/>
        </w:rPr>
        <w:t>E</w:t>
      </w:r>
      <w:r>
        <w:rPr>
          <w:rFonts w:ascii="Times New Roman" w:eastAsia="Times New Roman" w:hAnsi="Times New Roman" w:cs="Times New Roman"/>
          <w:b/>
        </w:rPr>
        <w:t xml:space="preserve">: </w:t>
      </w:r>
      <w:r w:rsidR="00FF3908">
        <w:rPr>
          <w:rFonts w:ascii="Times New Roman" w:eastAsia="Times New Roman" w:hAnsi="Times New Roman" w:cs="Times New Roman"/>
          <w:b/>
        </w:rPr>
        <w:t>Sensitivity Analysis</w:t>
      </w:r>
      <w:bookmarkEnd w:id="0"/>
    </w:p>
    <w:p w:rsidR="004A651F" w:rsidRDefault="00FF3908">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None of the reviewed studies reported the correlation coefficient for the relationship between reaction times in the high- and low-N conditions in any visual field. Thus, we calculated the variance associated with the observed effect in each study by assuming that the correlation coefficient would be identical to that observed in our replication study. To examine the influence of this estimate on our conclusions, we conducted sensitivity analysis where we repeated the meta-analysis under the assumption that </w:t>
      </w:r>
      <w:r>
        <w:rPr>
          <w:rFonts w:ascii="Times New Roman" w:eastAsia="Times New Roman" w:hAnsi="Times New Roman" w:cs="Times New Roman"/>
          <w:i/>
        </w:rPr>
        <w:t>r</w:t>
      </w:r>
      <w:r>
        <w:rPr>
          <w:rFonts w:ascii="Times New Roman" w:eastAsia="Times New Roman" w:hAnsi="Times New Roman" w:cs="Times New Roman"/>
        </w:rPr>
        <w:t xml:space="preserve">= .2, .5, or .8. </w:t>
      </w:r>
      <w:r>
        <w:rPr>
          <w:rFonts w:ascii="Times New Roman" w:eastAsia="Times New Roman" w:hAnsi="Times New Roman" w:cs="Times New Roman"/>
          <w:highlight w:val="white"/>
        </w:rPr>
        <w:t xml:space="preserve">The outcome of these meta-analyses were consistent; the N effect was always </w:t>
      </w:r>
      <w:proofErr w:type="spellStart"/>
      <w:r>
        <w:rPr>
          <w:rFonts w:ascii="Times New Roman" w:eastAsia="Times New Roman" w:hAnsi="Times New Roman" w:cs="Times New Roman"/>
          <w:highlight w:val="white"/>
        </w:rPr>
        <w:t>facilitatory</w:t>
      </w:r>
      <w:proofErr w:type="spellEnd"/>
      <w:r>
        <w:rPr>
          <w:rFonts w:ascii="Times New Roman" w:eastAsia="Times New Roman" w:hAnsi="Times New Roman" w:cs="Times New Roman"/>
          <w:highlight w:val="white"/>
        </w:rPr>
        <w:t xml:space="preserve"> in the LVF and always inhibitory in the RVF, irrespective of the size of the correlation coefficient used to calculate the variance of each study.</w:t>
      </w:r>
      <w:r>
        <w:rPr>
          <w:rFonts w:ascii="Times New Roman" w:eastAsia="Times New Roman" w:hAnsi="Times New Roman" w:cs="Times New Roman"/>
        </w:rPr>
        <w:t xml:space="preserve"> The estimates produced when using variable </w:t>
      </w:r>
      <w:r>
        <w:rPr>
          <w:rFonts w:ascii="Times New Roman" w:eastAsia="Times New Roman" w:hAnsi="Times New Roman" w:cs="Times New Roman"/>
          <w:i/>
        </w:rPr>
        <w:t>r</w:t>
      </w:r>
      <w:r>
        <w:rPr>
          <w:rFonts w:ascii="Times New Roman" w:eastAsia="Times New Roman" w:hAnsi="Times New Roman" w:cs="Times New Roman"/>
        </w:rPr>
        <w:t xml:space="preserve"> values are shown in Table S3 along with their corresponding </w:t>
      </w:r>
      <w:r>
        <w:rPr>
          <w:rFonts w:ascii="Times New Roman" w:eastAsia="Times New Roman" w:hAnsi="Times New Roman" w:cs="Times New Roman"/>
          <w:i/>
        </w:rPr>
        <w:t>p</w:t>
      </w:r>
      <w:r>
        <w:rPr>
          <w:rFonts w:ascii="Times New Roman" w:eastAsia="Times New Roman" w:hAnsi="Times New Roman" w:cs="Times New Roman"/>
        </w:rPr>
        <w:t xml:space="preserve">-values. </w:t>
      </w:r>
    </w:p>
    <w:p w:rsidR="004A651F" w:rsidRDefault="004A651F">
      <w:pPr>
        <w:spacing w:line="480" w:lineRule="auto"/>
        <w:rPr>
          <w:rFonts w:ascii="Times New Roman" w:eastAsia="Times New Roman" w:hAnsi="Times New Roman" w:cs="Times New Roman"/>
        </w:rPr>
      </w:pPr>
    </w:p>
    <w:p w:rsidR="004A651F" w:rsidRDefault="00FF3908">
      <w:pPr>
        <w:rPr>
          <w:rFonts w:ascii="Times New Roman" w:eastAsia="Times New Roman" w:hAnsi="Times New Roman" w:cs="Times New Roman"/>
        </w:rPr>
      </w:pPr>
      <w:r>
        <w:rPr>
          <w:rFonts w:ascii="Times New Roman" w:eastAsia="Times New Roman" w:hAnsi="Times New Roman" w:cs="Times New Roman"/>
        </w:rPr>
        <w:t>Table S3. Estimates (</w:t>
      </w:r>
      <w:proofErr w:type="spellStart"/>
      <w:r>
        <w:rPr>
          <w:rFonts w:ascii="Times New Roman" w:eastAsia="Times New Roman" w:hAnsi="Times New Roman" w:cs="Times New Roman"/>
          <w:i/>
        </w:rPr>
        <w:t>ms</w:t>
      </w:r>
      <w:proofErr w:type="spellEnd"/>
      <w:r>
        <w:rPr>
          <w:rFonts w:ascii="Times New Roman" w:eastAsia="Times New Roman" w:hAnsi="Times New Roman" w:cs="Times New Roman"/>
        </w:rPr>
        <w:t>) of the N effect in the left visual field (LVF) and right visual field (RVF) when varying the correlation coefficient (</w:t>
      </w:r>
      <w:r>
        <w:rPr>
          <w:rFonts w:ascii="Times New Roman" w:eastAsia="Times New Roman" w:hAnsi="Times New Roman" w:cs="Times New Roman"/>
          <w:i/>
        </w:rPr>
        <w:t>r</w:t>
      </w:r>
      <w:r>
        <w:rPr>
          <w:rFonts w:ascii="Times New Roman" w:eastAsia="Times New Roman" w:hAnsi="Times New Roman" w:cs="Times New Roman"/>
        </w:rPr>
        <w:t>) used to obtain variances and effect sizes in the meta-analysis.</w:t>
      </w:r>
    </w:p>
    <w:tbl>
      <w:tblPr>
        <w:tblStyle w:val="a1"/>
        <w:tblW w:w="9025" w:type="dxa"/>
        <w:tblBorders>
          <w:top w:val="nil"/>
          <w:left w:val="nil"/>
          <w:bottom w:val="nil"/>
          <w:right w:val="nil"/>
          <w:insideH w:val="nil"/>
          <w:insideV w:val="nil"/>
        </w:tblBorders>
        <w:tblLayout w:type="fixed"/>
        <w:tblLook w:val="0600" w:firstRow="0" w:lastRow="0" w:firstColumn="0" w:lastColumn="0" w:noHBand="1" w:noVBand="1"/>
      </w:tblPr>
      <w:tblGrid>
        <w:gridCol w:w="1283"/>
        <w:gridCol w:w="1388"/>
        <w:gridCol w:w="1194"/>
        <w:gridCol w:w="1387"/>
        <w:gridCol w:w="1193"/>
        <w:gridCol w:w="1387"/>
        <w:gridCol w:w="1193"/>
      </w:tblGrid>
      <w:tr w:rsidR="004A651F">
        <w:trPr>
          <w:trHeight w:val="515"/>
        </w:trPr>
        <w:tc>
          <w:tcPr>
            <w:tcW w:w="1282"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tcPr>
          <w:p w:rsidR="004A651F" w:rsidRDefault="004A651F">
            <w:pPr>
              <w:widowControl w:val="0"/>
              <w:rPr>
                <w:rFonts w:ascii="Times New Roman" w:eastAsia="Times New Roman" w:hAnsi="Times New Roman" w:cs="Times New Roman"/>
              </w:rPr>
            </w:pPr>
          </w:p>
        </w:tc>
        <w:tc>
          <w:tcPr>
            <w:tcW w:w="2580" w:type="dxa"/>
            <w:gridSpan w:val="2"/>
            <w:tcBorders>
              <w:top w:val="single" w:sz="8" w:space="0" w:color="000000"/>
              <w:left w:val="nil"/>
              <w:bottom w:val="single" w:sz="8" w:space="0" w:color="000000"/>
              <w:right w:val="single" w:sz="8" w:space="0" w:color="FFFFFF"/>
            </w:tcBorders>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rPr>
              <w:t>= .2</w:t>
            </w:r>
          </w:p>
        </w:tc>
        <w:tc>
          <w:tcPr>
            <w:tcW w:w="2580" w:type="dxa"/>
            <w:gridSpan w:val="2"/>
            <w:tcBorders>
              <w:top w:val="single" w:sz="8" w:space="0" w:color="000000"/>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rPr>
              <w:t>= .5</w:t>
            </w:r>
          </w:p>
        </w:tc>
        <w:tc>
          <w:tcPr>
            <w:tcW w:w="2580" w:type="dxa"/>
            <w:gridSpan w:val="2"/>
            <w:tcBorders>
              <w:top w:val="single" w:sz="8" w:space="0" w:color="000000"/>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i/>
              </w:rPr>
              <w:t>r</w:t>
            </w:r>
            <w:r>
              <w:rPr>
                <w:rFonts w:ascii="Times New Roman" w:eastAsia="Times New Roman" w:hAnsi="Times New Roman" w:cs="Times New Roman"/>
              </w:rPr>
              <w:t>= .8</w:t>
            </w:r>
          </w:p>
        </w:tc>
      </w:tr>
      <w:tr w:rsidR="004A651F">
        <w:trPr>
          <w:trHeight w:val="515"/>
        </w:trPr>
        <w:tc>
          <w:tcPr>
            <w:tcW w:w="1282" w:type="dxa"/>
            <w:tcBorders>
              <w:top w:val="nil"/>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tcPr>
          <w:p w:rsidR="004A651F" w:rsidRDefault="004A651F">
            <w:pPr>
              <w:widowControl w:val="0"/>
              <w:rPr>
                <w:rFonts w:ascii="Times New Roman" w:eastAsia="Times New Roman" w:hAnsi="Times New Roman" w:cs="Times New Roman"/>
              </w:rPr>
            </w:pPr>
          </w:p>
        </w:tc>
        <w:tc>
          <w:tcPr>
            <w:tcW w:w="1387" w:type="dxa"/>
            <w:tcBorders>
              <w:top w:val="nil"/>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estimate</w:t>
            </w:r>
          </w:p>
        </w:tc>
        <w:tc>
          <w:tcPr>
            <w:tcW w:w="1193" w:type="dxa"/>
            <w:tcBorders>
              <w:top w:val="nil"/>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i/>
              </w:rPr>
              <w:t>p</w:t>
            </w:r>
            <w:r>
              <w:rPr>
                <w:rFonts w:ascii="Times New Roman" w:eastAsia="Times New Roman" w:hAnsi="Times New Roman" w:cs="Times New Roman"/>
              </w:rPr>
              <w:t>-value</w:t>
            </w:r>
          </w:p>
        </w:tc>
        <w:tc>
          <w:tcPr>
            <w:tcW w:w="1387" w:type="dxa"/>
            <w:tcBorders>
              <w:top w:val="nil"/>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estimate</w:t>
            </w:r>
          </w:p>
        </w:tc>
        <w:tc>
          <w:tcPr>
            <w:tcW w:w="1193" w:type="dxa"/>
            <w:tcBorders>
              <w:top w:val="nil"/>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i/>
              </w:rPr>
              <w:t>p</w:t>
            </w:r>
            <w:r>
              <w:rPr>
                <w:rFonts w:ascii="Times New Roman" w:eastAsia="Times New Roman" w:hAnsi="Times New Roman" w:cs="Times New Roman"/>
              </w:rPr>
              <w:t>-value</w:t>
            </w:r>
          </w:p>
        </w:tc>
        <w:tc>
          <w:tcPr>
            <w:tcW w:w="1387" w:type="dxa"/>
            <w:tcBorders>
              <w:top w:val="nil"/>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estimate</w:t>
            </w:r>
          </w:p>
        </w:tc>
        <w:tc>
          <w:tcPr>
            <w:tcW w:w="1193" w:type="dxa"/>
            <w:tcBorders>
              <w:top w:val="nil"/>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i/>
              </w:rPr>
              <w:t>p</w:t>
            </w:r>
            <w:r>
              <w:rPr>
                <w:rFonts w:ascii="Times New Roman" w:eastAsia="Times New Roman" w:hAnsi="Times New Roman" w:cs="Times New Roman"/>
              </w:rPr>
              <w:t>-value</w:t>
            </w:r>
          </w:p>
        </w:tc>
      </w:tr>
      <w:tr w:rsidR="004A651F">
        <w:trPr>
          <w:trHeight w:val="515"/>
        </w:trPr>
        <w:tc>
          <w:tcPr>
            <w:tcW w:w="1282"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rPr>
                <w:rFonts w:ascii="Times New Roman" w:eastAsia="Times New Roman" w:hAnsi="Times New Roman" w:cs="Times New Roman"/>
              </w:rPr>
            </w:pPr>
            <w:r>
              <w:rPr>
                <w:rFonts w:ascii="Times New Roman" w:eastAsia="Times New Roman" w:hAnsi="Times New Roman" w:cs="Times New Roman"/>
              </w:rPr>
              <w:t>LVF</w:t>
            </w:r>
          </w:p>
        </w:tc>
        <w:tc>
          <w:tcPr>
            <w:tcW w:w="1387"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-32.7</w:t>
            </w:r>
          </w:p>
        </w:tc>
        <w:tc>
          <w:tcPr>
            <w:tcW w:w="1193"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&lt; .001</w:t>
            </w:r>
          </w:p>
        </w:tc>
        <w:tc>
          <w:tcPr>
            <w:tcW w:w="1387"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-32.4</w:t>
            </w:r>
          </w:p>
        </w:tc>
        <w:tc>
          <w:tcPr>
            <w:tcW w:w="1193"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&lt; .001</w:t>
            </w:r>
          </w:p>
        </w:tc>
        <w:tc>
          <w:tcPr>
            <w:tcW w:w="1387"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-31.7</w:t>
            </w:r>
          </w:p>
        </w:tc>
        <w:tc>
          <w:tcPr>
            <w:tcW w:w="1193" w:type="dxa"/>
            <w:tcBorders>
              <w:top w:val="nil"/>
              <w:left w:val="nil"/>
              <w:bottom w:val="single" w:sz="8" w:space="0" w:color="FFFFFF"/>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&lt; .001</w:t>
            </w:r>
          </w:p>
        </w:tc>
      </w:tr>
      <w:tr w:rsidR="004A651F">
        <w:tc>
          <w:tcPr>
            <w:tcW w:w="1282" w:type="dxa"/>
            <w:tcBorders>
              <w:top w:val="nil"/>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rPr>
                <w:rFonts w:ascii="Times New Roman" w:eastAsia="Times New Roman" w:hAnsi="Times New Roman" w:cs="Times New Roman"/>
              </w:rPr>
            </w:pPr>
            <w:r>
              <w:rPr>
                <w:rFonts w:ascii="Times New Roman" w:eastAsia="Times New Roman" w:hAnsi="Times New Roman" w:cs="Times New Roman"/>
              </w:rPr>
              <w:t>RVF</w:t>
            </w:r>
          </w:p>
        </w:tc>
        <w:tc>
          <w:tcPr>
            <w:tcW w:w="1387" w:type="dxa"/>
            <w:tcBorders>
              <w:top w:val="nil"/>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16.2</w:t>
            </w:r>
          </w:p>
        </w:tc>
        <w:tc>
          <w:tcPr>
            <w:tcW w:w="1193" w:type="dxa"/>
            <w:tcBorders>
              <w:top w:val="nil"/>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.001</w:t>
            </w:r>
          </w:p>
        </w:tc>
        <w:tc>
          <w:tcPr>
            <w:tcW w:w="1387" w:type="dxa"/>
            <w:tcBorders>
              <w:top w:val="nil"/>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14.6</w:t>
            </w:r>
          </w:p>
        </w:tc>
        <w:tc>
          <w:tcPr>
            <w:tcW w:w="1193" w:type="dxa"/>
            <w:tcBorders>
              <w:top w:val="nil"/>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.002</w:t>
            </w:r>
          </w:p>
        </w:tc>
        <w:tc>
          <w:tcPr>
            <w:tcW w:w="1387" w:type="dxa"/>
            <w:tcBorders>
              <w:top w:val="nil"/>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11.9</w:t>
            </w:r>
          </w:p>
        </w:tc>
        <w:tc>
          <w:tcPr>
            <w:tcW w:w="1193" w:type="dxa"/>
            <w:tcBorders>
              <w:top w:val="nil"/>
              <w:left w:val="nil"/>
              <w:bottom w:val="single" w:sz="8" w:space="0" w:color="000000"/>
              <w:right w:val="single" w:sz="8" w:space="0" w:color="FFFFFF"/>
            </w:tcBorders>
            <w:shd w:val="clear" w:color="auto" w:fill="auto"/>
            <w:tcMar>
              <w:top w:w="100" w:type="dxa"/>
              <w:left w:w="100" w:type="dxa"/>
              <w:bottom w:w="100" w:type="dxa"/>
              <w:right w:w="100" w:type="dxa"/>
            </w:tcMar>
          </w:tcPr>
          <w:p w:rsidR="004A651F" w:rsidRDefault="00FF3908">
            <w:pPr>
              <w:jc w:val="center"/>
              <w:rPr>
                <w:rFonts w:ascii="Times New Roman" w:eastAsia="Times New Roman" w:hAnsi="Times New Roman" w:cs="Times New Roman"/>
              </w:rPr>
            </w:pPr>
            <w:r>
              <w:rPr>
                <w:rFonts w:ascii="Times New Roman" w:eastAsia="Times New Roman" w:hAnsi="Times New Roman" w:cs="Times New Roman"/>
              </w:rPr>
              <w:t>.008</w:t>
            </w:r>
          </w:p>
        </w:tc>
      </w:tr>
    </w:tbl>
    <w:p w:rsidR="004A651F" w:rsidRDefault="004A651F">
      <w:pPr>
        <w:spacing w:line="480" w:lineRule="auto"/>
        <w:rPr>
          <w:rFonts w:ascii="Times New Roman" w:eastAsia="Times New Roman" w:hAnsi="Times New Roman" w:cs="Times New Roman"/>
        </w:rPr>
      </w:pPr>
    </w:p>
    <w:p w:rsidR="004A651F" w:rsidRDefault="004A651F">
      <w:pPr>
        <w:shd w:val="clear" w:color="auto" w:fill="FFFFFF"/>
        <w:spacing w:line="480" w:lineRule="auto"/>
        <w:rPr>
          <w:rFonts w:ascii="Times New Roman" w:eastAsia="Times New Roman" w:hAnsi="Times New Roman" w:cs="Times New Roman"/>
        </w:rPr>
      </w:pPr>
    </w:p>
    <w:sectPr w:rsidR="004A651F">
      <w:footerReference w:type="default" r:id="rId9"/>
      <w:footerReference w:type="first" r:id="rId10"/>
      <w:pgSz w:w="11900" w:h="16840"/>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8DF" w:rsidRDefault="00B308DF">
      <w:r>
        <w:separator/>
      </w:r>
    </w:p>
  </w:endnote>
  <w:endnote w:type="continuationSeparator" w:id="0">
    <w:p w:rsidR="00B308DF" w:rsidRDefault="00B3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51F" w:rsidRDefault="00FF3908">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PAGE</w:instrText>
    </w:r>
    <w:r>
      <w:rPr>
        <w:rFonts w:ascii="Times New Roman" w:eastAsia="Times New Roman" w:hAnsi="Times New Roman" w:cs="Times New Roman"/>
        <w:sz w:val="22"/>
        <w:szCs w:val="22"/>
      </w:rPr>
      <w:fldChar w:fldCharType="separate"/>
    </w:r>
    <w:r w:rsidR="00AD1BF3">
      <w:rPr>
        <w:rFonts w:ascii="Times New Roman" w:eastAsia="Times New Roman" w:hAnsi="Times New Roman" w:cs="Times New Roman"/>
        <w:noProof/>
        <w:sz w:val="22"/>
        <w:szCs w:val="22"/>
      </w:rPr>
      <w:t>1</w:t>
    </w:r>
    <w:r>
      <w:rPr>
        <w:rFonts w:ascii="Times New Roman" w:eastAsia="Times New Roman" w:hAnsi="Times New Roman" w:cs="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51F" w:rsidRDefault="004A65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8DF" w:rsidRDefault="00B308DF">
      <w:r>
        <w:separator/>
      </w:r>
    </w:p>
  </w:footnote>
  <w:footnote w:type="continuationSeparator" w:id="0">
    <w:p w:rsidR="00B308DF" w:rsidRDefault="00B30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75361"/>
    <w:multiLevelType w:val="multilevel"/>
    <w:tmpl w:val="DFF6A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1F"/>
    <w:rsid w:val="004A651F"/>
    <w:rsid w:val="00AD1BF3"/>
    <w:rsid w:val="00B308DF"/>
    <w:rsid w:val="00C33220"/>
    <w:rsid w:val="00FF3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845308"/>
  <w15:docId w15:val="{AF5D5113-5179-3847-A70E-C811A0DF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D1B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1BF3"/>
    <w:rPr>
      <w:rFonts w:ascii="Times New Roman" w:hAnsi="Times New Roman" w:cs="Times New Roman"/>
      <w:sz w:val="18"/>
      <w:szCs w:val="18"/>
    </w:rPr>
  </w:style>
  <w:style w:type="paragraph" w:styleId="ListParagraph">
    <w:name w:val="List Paragraph"/>
    <w:basedOn w:val="Normal"/>
    <w:uiPriority w:val="34"/>
    <w:qFormat/>
    <w:rsid w:val="00C33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Parker</cp:lastModifiedBy>
  <cp:revision>3</cp:revision>
  <dcterms:created xsi:type="dcterms:W3CDTF">2021-03-17T21:21:00Z</dcterms:created>
  <dcterms:modified xsi:type="dcterms:W3CDTF">2021-03-18T10:36:00Z</dcterms:modified>
</cp:coreProperties>
</file>