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504B" w14:textId="12658EF2" w:rsidR="00CB0685" w:rsidRPr="00F16757" w:rsidRDefault="00AD4ED6" w:rsidP="00CB0685">
      <w:pPr>
        <w:rPr>
          <w:rFonts w:cstheme="minorHAnsi"/>
        </w:rPr>
      </w:pPr>
      <w:r>
        <w:rPr>
          <w:rFonts w:cstheme="minorHAnsi"/>
        </w:rPr>
        <w:t>File S2</w:t>
      </w:r>
      <w:r w:rsidR="00CB0685" w:rsidRPr="00F16757">
        <w:rPr>
          <w:rFonts w:cstheme="minorHAnsi"/>
        </w:rPr>
        <w:t>.</w:t>
      </w:r>
      <w:r w:rsidR="009774D1">
        <w:rPr>
          <w:rFonts w:cstheme="minorHAnsi"/>
        </w:rPr>
        <w:t xml:space="preserve"> Summary metrics of the analyzed </w:t>
      </w:r>
      <w:r w:rsidR="009774D1" w:rsidRPr="009774D1">
        <w:rPr>
          <w:rFonts w:cstheme="minorHAnsi"/>
          <w:i/>
          <w:iCs/>
        </w:rPr>
        <w:t>Lasiurus cinereus</w:t>
      </w:r>
      <w:r w:rsidR="009774D1">
        <w:rPr>
          <w:rFonts w:cstheme="minorHAnsi"/>
        </w:rPr>
        <w:t xml:space="preserve"> genome assembly</w:t>
      </w:r>
      <w:r w:rsidR="00B5492D">
        <w:rPr>
          <w:rFonts w:cstheme="minorHAnsi"/>
        </w:rPr>
        <w:t xml:space="preserve"> reported by the supernova assembly program </w:t>
      </w:r>
      <w:r w:rsidR="00B5492D">
        <w:rPr>
          <w:rFonts w:cstheme="minorHAnsi"/>
        </w:rPr>
        <w:t>(Weisenfeld et al. 2017)</w:t>
      </w:r>
      <w:r w:rsidR="009774D1">
        <w:rPr>
          <w:rFonts w:cstheme="minorHAnsi"/>
        </w:rPr>
        <w:t>.</w:t>
      </w:r>
      <w:r w:rsidR="00CB0685" w:rsidRPr="00F16757">
        <w:rPr>
          <w:rFonts w:cstheme="minorHAnsi"/>
        </w:rPr>
        <w:t xml:space="preserve"> </w:t>
      </w:r>
      <w:r w:rsidR="009774D1" w:rsidRPr="009774D1">
        <w:rPr>
          <w:rFonts w:cstheme="minorHAnsi"/>
        </w:rPr>
        <w:t>N50 is</w:t>
      </w:r>
      <w:r w:rsidR="009774D1">
        <w:rPr>
          <w:rFonts w:cstheme="minorHAnsi"/>
        </w:rPr>
        <w:t xml:space="preserve"> the</w:t>
      </w:r>
      <w:r w:rsidR="009774D1" w:rsidRPr="009774D1">
        <w:rPr>
          <w:rFonts w:cstheme="minorHAnsi"/>
        </w:rPr>
        <w:t xml:space="preserve"> </w:t>
      </w:r>
      <w:r w:rsidR="009774D1">
        <w:rPr>
          <w:rFonts w:cstheme="minorHAnsi"/>
        </w:rPr>
        <w:t>size of the smallest scaffold included in the minimum set of scaffolds needed to contain half the assembly length</w:t>
      </w:r>
      <w:r w:rsidR="009774D1" w:rsidRPr="009774D1">
        <w:rPr>
          <w:rFonts w:cstheme="minorHAnsi"/>
        </w:rPr>
        <w:t xml:space="preserve">, </w:t>
      </w:r>
      <w:r w:rsidR="009774D1">
        <w:rPr>
          <w:rFonts w:cstheme="minorHAnsi"/>
        </w:rPr>
        <w:t xml:space="preserve">whereas </w:t>
      </w:r>
      <w:r w:rsidR="009774D1" w:rsidRPr="009774D1">
        <w:rPr>
          <w:rFonts w:cstheme="minorHAnsi"/>
        </w:rPr>
        <w:t xml:space="preserve">L50 is </w:t>
      </w:r>
      <w:r w:rsidR="009774D1">
        <w:rPr>
          <w:rFonts w:cstheme="minorHAnsi"/>
        </w:rPr>
        <w:t>the number of scaffolds in that set</w:t>
      </w:r>
      <w:r w:rsidR="009774D1" w:rsidRPr="009774D1">
        <w:rPr>
          <w:rFonts w:cstheme="minorHAnsi"/>
        </w:rPr>
        <w:t xml:space="preserve">. </w:t>
      </w:r>
      <w:r w:rsidR="009774D1">
        <w:rPr>
          <w:rFonts w:cstheme="minorHAnsi"/>
        </w:rPr>
        <w:t>These metrics are commonly used to compare assembly contiguity.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CB0685" w:rsidRPr="00F16757" w14:paraId="04D84347" w14:textId="77777777" w:rsidTr="009774D1">
        <w:tc>
          <w:tcPr>
            <w:tcW w:w="5935" w:type="dxa"/>
          </w:tcPr>
          <w:p w14:paraId="41422C7B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Metric</w:t>
            </w:r>
          </w:p>
        </w:tc>
        <w:tc>
          <w:tcPr>
            <w:tcW w:w="3415" w:type="dxa"/>
          </w:tcPr>
          <w:p w14:paraId="22B13F5B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Value</w:t>
            </w:r>
          </w:p>
        </w:tc>
      </w:tr>
      <w:tr w:rsidR="00CB0685" w:rsidRPr="00F16757" w14:paraId="60051DB5" w14:textId="77777777" w:rsidTr="009774D1">
        <w:tc>
          <w:tcPr>
            <w:tcW w:w="5935" w:type="dxa"/>
          </w:tcPr>
          <w:p w14:paraId="7799BDA0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Input reads</w:t>
            </w:r>
          </w:p>
        </w:tc>
        <w:tc>
          <w:tcPr>
            <w:tcW w:w="3415" w:type="dxa"/>
          </w:tcPr>
          <w:p w14:paraId="600CA43A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1.00 x 10</w:t>
            </w:r>
            <w:r w:rsidRPr="00F16757">
              <w:rPr>
                <w:rFonts w:cstheme="minorHAnsi"/>
                <w:vertAlign w:val="superscript"/>
              </w:rPr>
              <w:t>9</w:t>
            </w:r>
          </w:p>
        </w:tc>
      </w:tr>
      <w:tr w:rsidR="00CB0685" w:rsidRPr="00F16757" w14:paraId="67B2DAE8" w14:textId="77777777" w:rsidTr="009774D1">
        <w:tc>
          <w:tcPr>
            <w:tcW w:w="5935" w:type="dxa"/>
          </w:tcPr>
          <w:p w14:paraId="3F51A463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Raw coverage</w:t>
            </w:r>
          </w:p>
        </w:tc>
        <w:tc>
          <w:tcPr>
            <w:tcW w:w="3415" w:type="dxa"/>
          </w:tcPr>
          <w:p w14:paraId="3A1C3891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60.1</w:t>
            </w:r>
            <w:r>
              <w:rPr>
                <w:rFonts w:cstheme="minorHAnsi"/>
              </w:rPr>
              <w:t>4</w:t>
            </w:r>
          </w:p>
        </w:tc>
      </w:tr>
      <w:tr w:rsidR="00CB0685" w:rsidRPr="00F16757" w14:paraId="3F315A87" w14:textId="77777777" w:rsidTr="009774D1">
        <w:tc>
          <w:tcPr>
            <w:tcW w:w="5935" w:type="dxa"/>
          </w:tcPr>
          <w:p w14:paraId="5384D404" w14:textId="77777777" w:rsidR="00CB0685" w:rsidRPr="00F16757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Final effective coverage</w:t>
            </w:r>
          </w:p>
        </w:tc>
        <w:tc>
          <w:tcPr>
            <w:tcW w:w="3415" w:type="dxa"/>
          </w:tcPr>
          <w:p w14:paraId="29C68036" w14:textId="77777777" w:rsidR="00CB0685" w:rsidRPr="00F16757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42.32</w:t>
            </w:r>
          </w:p>
        </w:tc>
      </w:tr>
      <w:tr w:rsidR="00CB0685" w:rsidRPr="00F16757" w14:paraId="40FEFCD7" w14:textId="77777777" w:rsidTr="009774D1">
        <w:tc>
          <w:tcPr>
            <w:tcW w:w="5935" w:type="dxa"/>
          </w:tcPr>
          <w:p w14:paraId="636ACEBF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Mean linked-read length</w:t>
            </w:r>
          </w:p>
        </w:tc>
        <w:tc>
          <w:tcPr>
            <w:tcW w:w="3415" w:type="dxa"/>
          </w:tcPr>
          <w:p w14:paraId="138A7032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50.</w:t>
            </w:r>
            <w:r>
              <w:rPr>
                <w:rFonts w:cstheme="minorHAnsi"/>
              </w:rPr>
              <w:t>75</w:t>
            </w:r>
            <w:r w:rsidRPr="00F16757">
              <w:rPr>
                <w:rFonts w:cstheme="minorHAnsi"/>
              </w:rPr>
              <w:t xml:space="preserve"> kb</w:t>
            </w:r>
          </w:p>
        </w:tc>
      </w:tr>
      <w:tr w:rsidR="00CB0685" w:rsidRPr="00F16757" w14:paraId="12D17D69" w14:textId="77777777" w:rsidTr="009774D1">
        <w:tc>
          <w:tcPr>
            <w:tcW w:w="5935" w:type="dxa"/>
          </w:tcPr>
          <w:p w14:paraId="1136934F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Scaffolds &gt; 10 kb</w:t>
            </w:r>
          </w:p>
        </w:tc>
        <w:tc>
          <w:tcPr>
            <w:tcW w:w="3415" w:type="dxa"/>
          </w:tcPr>
          <w:p w14:paraId="75BDF0F2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2,540</w:t>
            </w:r>
          </w:p>
        </w:tc>
      </w:tr>
      <w:tr w:rsidR="00CB0685" w:rsidRPr="00F16757" w14:paraId="7AF33337" w14:textId="77777777" w:rsidTr="009774D1">
        <w:tc>
          <w:tcPr>
            <w:tcW w:w="5935" w:type="dxa"/>
          </w:tcPr>
          <w:p w14:paraId="09C4E49D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Contig N50</w:t>
            </w:r>
          </w:p>
        </w:tc>
        <w:tc>
          <w:tcPr>
            <w:tcW w:w="3415" w:type="dxa"/>
          </w:tcPr>
          <w:p w14:paraId="618308BD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120.62 kb</w:t>
            </w:r>
          </w:p>
        </w:tc>
      </w:tr>
      <w:tr w:rsidR="00CB0685" w:rsidRPr="00F16757" w14:paraId="52A9153C" w14:textId="77777777" w:rsidTr="009774D1">
        <w:tc>
          <w:tcPr>
            <w:tcW w:w="5935" w:type="dxa"/>
          </w:tcPr>
          <w:p w14:paraId="5F00CF26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Scaffold N50</w:t>
            </w:r>
          </w:p>
        </w:tc>
        <w:tc>
          <w:tcPr>
            <w:tcW w:w="3415" w:type="dxa"/>
          </w:tcPr>
          <w:p w14:paraId="3D17BC8C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35.11 Mb</w:t>
            </w:r>
          </w:p>
        </w:tc>
      </w:tr>
      <w:tr w:rsidR="00CB0685" w:rsidRPr="00F16757" w14:paraId="73F3C812" w14:textId="77777777" w:rsidTr="009774D1">
        <w:tc>
          <w:tcPr>
            <w:tcW w:w="5935" w:type="dxa"/>
          </w:tcPr>
          <w:p w14:paraId="3BA0787D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Scaffold L50</w:t>
            </w:r>
          </w:p>
        </w:tc>
        <w:tc>
          <w:tcPr>
            <w:tcW w:w="3415" w:type="dxa"/>
          </w:tcPr>
          <w:p w14:paraId="163B1726" w14:textId="77777777" w:rsidR="00CB0685" w:rsidRPr="00F16757" w:rsidRDefault="00CB0685" w:rsidP="00407641">
            <w:pPr>
              <w:rPr>
                <w:rFonts w:cstheme="minorHAnsi"/>
              </w:rPr>
            </w:pPr>
            <w:r w:rsidRPr="00F16757">
              <w:rPr>
                <w:rFonts w:cstheme="minorHAnsi"/>
              </w:rPr>
              <w:t>17</w:t>
            </w:r>
          </w:p>
        </w:tc>
      </w:tr>
      <w:tr w:rsidR="00CB0685" w:rsidRPr="00F16757" w14:paraId="3A8691D6" w14:textId="77777777" w:rsidTr="009774D1">
        <w:tc>
          <w:tcPr>
            <w:tcW w:w="5935" w:type="dxa"/>
          </w:tcPr>
          <w:p w14:paraId="6A4F4E60" w14:textId="77777777" w:rsidR="00CB0685" w:rsidRPr="00F16757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Assembly length</w:t>
            </w:r>
          </w:p>
        </w:tc>
        <w:tc>
          <w:tcPr>
            <w:tcW w:w="3415" w:type="dxa"/>
          </w:tcPr>
          <w:p w14:paraId="7F7EB22E" w14:textId="77777777" w:rsidR="00CB0685" w:rsidRPr="00F16757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2.11 Gb</w:t>
            </w:r>
          </w:p>
        </w:tc>
      </w:tr>
      <w:tr w:rsidR="00CB0685" w:rsidRPr="00F16757" w14:paraId="3A7FE1DC" w14:textId="77777777" w:rsidTr="009774D1">
        <w:tc>
          <w:tcPr>
            <w:tcW w:w="5935" w:type="dxa"/>
          </w:tcPr>
          <w:p w14:paraId="579593C9" w14:textId="77777777" w:rsidR="00CB0685" w:rsidRDefault="009774D1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Gen</w:t>
            </w:r>
            <w:r w:rsidR="00CB0685">
              <w:rPr>
                <w:rFonts w:cstheme="minorHAnsi"/>
              </w:rPr>
              <w:t>ome size</w:t>
            </w:r>
            <w:r>
              <w:rPr>
                <w:rFonts w:cstheme="minorHAnsi"/>
              </w:rPr>
              <w:t xml:space="preserve"> estimated by supernova (this assembly)</w:t>
            </w:r>
          </w:p>
        </w:tc>
        <w:tc>
          <w:tcPr>
            <w:tcW w:w="3415" w:type="dxa"/>
          </w:tcPr>
          <w:p w14:paraId="20536614" w14:textId="77777777" w:rsidR="00CB0685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2.51 Gb</w:t>
            </w:r>
          </w:p>
        </w:tc>
      </w:tr>
      <w:tr w:rsidR="009774D1" w:rsidRPr="00F16757" w14:paraId="3F9CE8EF" w14:textId="77777777" w:rsidTr="009774D1">
        <w:tc>
          <w:tcPr>
            <w:tcW w:w="5935" w:type="dxa"/>
          </w:tcPr>
          <w:p w14:paraId="57089188" w14:textId="77777777" w:rsidR="009774D1" w:rsidRDefault="009774D1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Genome size estimated by C content (Smith et al. 2013)</w:t>
            </w:r>
          </w:p>
        </w:tc>
        <w:tc>
          <w:tcPr>
            <w:tcW w:w="3415" w:type="dxa"/>
          </w:tcPr>
          <w:p w14:paraId="7EC3FBB9" w14:textId="77777777" w:rsidR="009774D1" w:rsidRDefault="009774D1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2.37 Gb</w:t>
            </w:r>
          </w:p>
        </w:tc>
      </w:tr>
      <w:tr w:rsidR="00CB0685" w:rsidRPr="00F16757" w14:paraId="17FDD2DB" w14:textId="77777777" w:rsidTr="009774D1">
        <w:tc>
          <w:tcPr>
            <w:tcW w:w="5935" w:type="dxa"/>
          </w:tcPr>
          <w:p w14:paraId="01A0F511" w14:textId="77777777" w:rsidR="00CB0685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repetitive fraction</w:t>
            </w:r>
          </w:p>
        </w:tc>
        <w:tc>
          <w:tcPr>
            <w:tcW w:w="3415" w:type="dxa"/>
          </w:tcPr>
          <w:p w14:paraId="16E6314B" w14:textId="77777777" w:rsidR="00CB0685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6.17%</w:t>
            </w:r>
          </w:p>
        </w:tc>
      </w:tr>
      <w:tr w:rsidR="00CB0685" w:rsidRPr="00F16757" w14:paraId="571E4FB9" w14:textId="77777777" w:rsidTr="009774D1">
        <w:tc>
          <w:tcPr>
            <w:tcW w:w="5935" w:type="dxa"/>
          </w:tcPr>
          <w:p w14:paraId="7F8EDAE8" w14:textId="77777777" w:rsidR="00CB0685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GC content</w:t>
            </w:r>
          </w:p>
        </w:tc>
        <w:tc>
          <w:tcPr>
            <w:tcW w:w="3415" w:type="dxa"/>
          </w:tcPr>
          <w:p w14:paraId="2670F972" w14:textId="77777777" w:rsidR="00CB0685" w:rsidRDefault="00CB0685" w:rsidP="00407641">
            <w:pPr>
              <w:rPr>
                <w:rFonts w:cstheme="minorHAnsi"/>
              </w:rPr>
            </w:pPr>
            <w:r>
              <w:rPr>
                <w:rFonts w:cstheme="minorHAnsi"/>
              </w:rPr>
              <w:t>42.65%</w:t>
            </w:r>
          </w:p>
        </w:tc>
      </w:tr>
    </w:tbl>
    <w:p w14:paraId="40E546B8" w14:textId="77777777" w:rsidR="00CB0685" w:rsidRDefault="00CB0685" w:rsidP="00CB0685">
      <w:pPr>
        <w:rPr>
          <w:rFonts w:cstheme="minorHAnsi"/>
        </w:rPr>
      </w:pPr>
    </w:p>
    <w:p w14:paraId="36D6EADE" w14:textId="77777777" w:rsidR="00D409C4" w:rsidRDefault="00D409C4"/>
    <w:sectPr w:rsidR="00D40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85"/>
    <w:rsid w:val="00393696"/>
    <w:rsid w:val="00732D5B"/>
    <w:rsid w:val="00932BD6"/>
    <w:rsid w:val="009774D1"/>
    <w:rsid w:val="00AD4ED6"/>
    <w:rsid w:val="00B5492D"/>
    <w:rsid w:val="00CB0685"/>
    <w:rsid w:val="00D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CBA9"/>
  <w15:chartTrackingRefBased/>
  <w15:docId w15:val="{9A0F7524-F4D1-4300-AACA-332ECCC0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Cornman, Robert S</dc:creator>
  <cp:keywords/>
  <dc:description/>
  <cp:lastModifiedBy>Cornman, Robert S</cp:lastModifiedBy>
  <cp:revision>3</cp:revision>
  <dcterms:created xsi:type="dcterms:W3CDTF">2021-03-09T04:00:00Z</dcterms:created>
  <dcterms:modified xsi:type="dcterms:W3CDTF">2021-03-09T04:03:00Z</dcterms:modified>
</cp:coreProperties>
</file>