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43AAD" w14:textId="438C1C25" w:rsidR="00917178" w:rsidRDefault="00210EFD" w:rsidP="00917178">
      <w:pPr>
        <w:rPr>
          <w:rFonts w:ascii="Times" w:eastAsia="Calibri" w:hAnsi="Times" w:cs="Times"/>
          <w:b/>
          <w:color w:val="000000"/>
          <w:sz w:val="24"/>
          <w:szCs w:val="24"/>
          <w:u w:color="000000"/>
          <w:bdr w:val="nil"/>
          <w:lang w:eastAsia="es-MX"/>
        </w:rPr>
      </w:pPr>
      <w:proofErr w:type="spellStart"/>
      <w:r w:rsidRPr="00E51026">
        <w:rPr>
          <w:rFonts w:ascii="Times" w:eastAsia="Calibri" w:hAnsi="Times" w:cs="Times"/>
          <w:b/>
          <w:color w:val="000000"/>
          <w:sz w:val="24"/>
          <w:szCs w:val="24"/>
          <w:u w:color="000000"/>
          <w:bdr w:val="nil"/>
          <w:lang w:eastAsia="es-MX"/>
        </w:rPr>
        <w:t>Oil</w:t>
      </w:r>
      <w:proofErr w:type="spellEnd"/>
      <w:r w:rsidRPr="00E51026">
        <w:rPr>
          <w:rFonts w:ascii="Times" w:eastAsia="Calibri" w:hAnsi="Times" w:cs="Times"/>
          <w:b/>
          <w:color w:val="000000"/>
          <w:sz w:val="24"/>
          <w:szCs w:val="24"/>
          <w:u w:color="000000"/>
          <w:bdr w:val="nil"/>
          <w:lang w:eastAsia="es-MX"/>
        </w:rPr>
        <w:t xml:space="preserve"> red </w:t>
      </w:r>
      <w:proofErr w:type="spellStart"/>
      <w:r w:rsidRPr="00E51026">
        <w:rPr>
          <w:rFonts w:ascii="Times" w:eastAsia="Calibri" w:hAnsi="Times" w:cs="Times"/>
          <w:b/>
          <w:color w:val="000000"/>
          <w:sz w:val="24"/>
          <w:szCs w:val="24"/>
          <w:u w:color="000000"/>
          <w:bdr w:val="nil"/>
          <w:lang w:eastAsia="es-MX"/>
        </w:rPr>
        <w:t>staining</w:t>
      </w:r>
      <w:bookmarkStart w:id="0" w:name="_Hlk31885166"/>
      <w:proofErr w:type="spellEnd"/>
    </w:p>
    <w:p w14:paraId="3DC24A4D" w14:textId="2670B3FB" w:rsidR="00210EFD" w:rsidRDefault="00210EFD" w:rsidP="00917178">
      <w:pPr>
        <w:rPr>
          <w:rFonts w:ascii="Times" w:eastAsia="Calibri" w:hAnsi="Times" w:cs="Times"/>
          <w:color w:val="000000"/>
          <w:sz w:val="24"/>
          <w:szCs w:val="24"/>
          <w:u w:color="000000"/>
          <w:bdr w:val="nil"/>
          <w:lang w:eastAsia="es-MX"/>
        </w:rPr>
      </w:pPr>
      <w:proofErr w:type="spellStart"/>
      <w:r w:rsidRPr="00E51026">
        <w:rPr>
          <w:rFonts w:ascii="Times" w:eastAsia="Calibri" w:hAnsi="Times" w:cs="Times"/>
          <w:color w:val="000000"/>
          <w:sz w:val="24"/>
          <w:szCs w:val="24"/>
          <w:u w:color="000000"/>
          <w:bdr w:val="nil"/>
          <w:lang w:eastAsia="es-MX"/>
        </w:rPr>
        <w:t>For</w:t>
      </w:r>
      <w:proofErr w:type="spellEnd"/>
      <w:r w:rsidRPr="00E51026">
        <w:rPr>
          <w:rFonts w:ascii="Times" w:eastAsia="Calibri" w:hAnsi="Times" w:cs="Times"/>
          <w:color w:val="000000"/>
          <w:sz w:val="24"/>
          <w:szCs w:val="24"/>
          <w:u w:color="000000"/>
          <w:bdr w:val="nil"/>
          <w:lang w:eastAsia="es-MX"/>
        </w:rPr>
        <w:t xml:space="preserve"> Red </w:t>
      </w:r>
      <w:proofErr w:type="spellStart"/>
      <w:r w:rsidRPr="00E51026">
        <w:rPr>
          <w:rFonts w:ascii="Times" w:eastAsia="Calibri" w:hAnsi="Times" w:cs="Times"/>
          <w:color w:val="000000"/>
          <w:sz w:val="24"/>
          <w:szCs w:val="24"/>
          <w:u w:color="000000"/>
          <w:bdr w:val="nil"/>
          <w:lang w:eastAsia="es-MX"/>
        </w:rPr>
        <w:t>Oil</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staining</w:t>
      </w:r>
      <w:proofErr w:type="spellEnd"/>
      <w:r w:rsidRPr="00E51026">
        <w:rPr>
          <w:rFonts w:ascii="Times" w:eastAsia="Calibri" w:hAnsi="Times" w:cs="Times"/>
          <w:color w:val="000000"/>
          <w:sz w:val="24"/>
          <w:szCs w:val="24"/>
          <w:u w:color="000000"/>
          <w:bdr w:val="nil"/>
          <w:lang w:eastAsia="es-MX"/>
        </w:rPr>
        <w:t xml:space="preserve">, 3T3-L1 </w:t>
      </w:r>
      <w:proofErr w:type="spellStart"/>
      <w:r w:rsidRPr="00E51026">
        <w:rPr>
          <w:rFonts w:ascii="Times" w:eastAsia="Calibri" w:hAnsi="Times" w:cs="Times"/>
          <w:color w:val="000000"/>
          <w:sz w:val="24"/>
          <w:szCs w:val="24"/>
          <w:u w:color="000000"/>
          <w:bdr w:val="nil"/>
          <w:lang w:eastAsia="es-MX"/>
        </w:rPr>
        <w:t>adipocytes</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exposed</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to</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fructose</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were</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fixed</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with</w:t>
      </w:r>
      <w:proofErr w:type="spellEnd"/>
      <w:r w:rsidRPr="00E51026">
        <w:rPr>
          <w:rFonts w:ascii="Times" w:eastAsia="Calibri" w:hAnsi="Times" w:cs="Times"/>
          <w:color w:val="000000"/>
          <w:sz w:val="24"/>
          <w:szCs w:val="24"/>
          <w:u w:color="000000"/>
          <w:bdr w:val="nil"/>
          <w:lang w:eastAsia="es-MX"/>
        </w:rPr>
        <w:t xml:space="preserve"> 10% (w/v) </w:t>
      </w:r>
      <w:proofErr w:type="spellStart"/>
      <w:r w:rsidRPr="00E51026">
        <w:rPr>
          <w:rFonts w:ascii="Times" w:eastAsia="Calibri" w:hAnsi="Times" w:cs="Times"/>
          <w:color w:val="000000"/>
          <w:sz w:val="24"/>
          <w:szCs w:val="24"/>
          <w:u w:color="000000"/>
          <w:bdr w:val="nil"/>
          <w:lang w:eastAsia="es-MX"/>
        </w:rPr>
        <w:t>formaldehyde</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for</w:t>
      </w:r>
      <w:proofErr w:type="spellEnd"/>
      <w:r w:rsidRPr="00E51026">
        <w:rPr>
          <w:rFonts w:ascii="Times" w:eastAsia="Calibri" w:hAnsi="Times" w:cs="Times"/>
          <w:color w:val="000000"/>
          <w:sz w:val="24"/>
          <w:szCs w:val="24"/>
          <w:u w:color="000000"/>
          <w:bdr w:val="nil"/>
          <w:lang w:eastAsia="es-MX"/>
        </w:rPr>
        <w:t xml:space="preserve"> 30 min, PBS </w:t>
      </w:r>
      <w:proofErr w:type="spellStart"/>
      <w:r w:rsidRPr="00E51026">
        <w:rPr>
          <w:rFonts w:ascii="Times" w:eastAsia="Calibri" w:hAnsi="Times" w:cs="Times"/>
          <w:color w:val="000000"/>
          <w:sz w:val="24"/>
          <w:szCs w:val="24"/>
          <w:u w:color="000000"/>
          <w:bdr w:val="nil"/>
          <w:lang w:eastAsia="es-MX"/>
        </w:rPr>
        <w:t>washed</w:t>
      </w:r>
      <w:proofErr w:type="spellEnd"/>
      <w:r w:rsidRPr="00E51026">
        <w:rPr>
          <w:rFonts w:ascii="Times" w:eastAsia="Calibri" w:hAnsi="Times" w:cs="Times"/>
          <w:color w:val="000000"/>
          <w:sz w:val="24"/>
          <w:szCs w:val="24"/>
          <w:u w:color="000000"/>
          <w:bdr w:val="nil"/>
          <w:lang w:eastAsia="es-MX"/>
        </w:rPr>
        <w:t xml:space="preserve"> prior </w:t>
      </w:r>
      <w:proofErr w:type="spellStart"/>
      <w:r>
        <w:rPr>
          <w:rFonts w:ascii="Times" w:eastAsia="Calibri" w:hAnsi="Times" w:cs="Times"/>
          <w:color w:val="000000"/>
          <w:sz w:val="24"/>
          <w:szCs w:val="24"/>
          <w:u w:color="000000"/>
          <w:bdr w:val="nil"/>
          <w:lang w:eastAsia="es-MX"/>
        </w:rPr>
        <w:t>to</w:t>
      </w:r>
      <w:proofErr w:type="spellEnd"/>
      <w:r>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staining</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with</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Oil</w:t>
      </w:r>
      <w:proofErr w:type="spellEnd"/>
      <w:r w:rsidRPr="00E51026">
        <w:rPr>
          <w:rFonts w:ascii="Times" w:eastAsia="Calibri" w:hAnsi="Times" w:cs="Times"/>
          <w:color w:val="000000"/>
          <w:sz w:val="24"/>
          <w:szCs w:val="24"/>
          <w:u w:color="000000"/>
          <w:bdr w:val="nil"/>
          <w:lang w:eastAsia="es-MX"/>
        </w:rPr>
        <w:t xml:space="preserve"> Red O </w:t>
      </w:r>
      <w:proofErr w:type="spellStart"/>
      <w:r w:rsidRPr="00E51026">
        <w:rPr>
          <w:rFonts w:ascii="Times" w:eastAsia="Calibri" w:hAnsi="Times" w:cs="Times"/>
          <w:color w:val="000000"/>
          <w:sz w:val="24"/>
          <w:szCs w:val="24"/>
          <w:u w:color="000000"/>
          <w:bdr w:val="nil"/>
          <w:lang w:eastAsia="es-MX"/>
        </w:rPr>
        <w:t>staining</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solution</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The</w:t>
      </w:r>
      <w:proofErr w:type="spellEnd"/>
      <w:r w:rsidRPr="00E51026">
        <w:rPr>
          <w:rFonts w:ascii="Times" w:eastAsia="Calibri" w:hAnsi="Times" w:cs="Times"/>
          <w:color w:val="000000"/>
          <w:sz w:val="24"/>
          <w:szCs w:val="24"/>
          <w:u w:color="000000"/>
          <w:bdr w:val="nil"/>
          <w:lang w:eastAsia="es-MX"/>
        </w:rPr>
        <w:t xml:space="preserve"> 3T3-L1 </w:t>
      </w:r>
      <w:proofErr w:type="spellStart"/>
      <w:r w:rsidRPr="00E51026">
        <w:rPr>
          <w:rFonts w:ascii="Times" w:eastAsia="Calibri" w:hAnsi="Times" w:cs="Times"/>
          <w:color w:val="000000"/>
          <w:sz w:val="24"/>
          <w:szCs w:val="24"/>
          <w:u w:color="000000"/>
          <w:bdr w:val="nil"/>
          <w:lang w:eastAsia="es-MX"/>
        </w:rPr>
        <w:t>adipocytes</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were</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stained</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with</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Oil</w:t>
      </w:r>
      <w:proofErr w:type="spellEnd"/>
      <w:r w:rsidRPr="00E51026">
        <w:rPr>
          <w:rFonts w:ascii="Times" w:eastAsia="Calibri" w:hAnsi="Times" w:cs="Times"/>
          <w:color w:val="000000"/>
          <w:sz w:val="24"/>
          <w:szCs w:val="24"/>
          <w:u w:color="000000"/>
          <w:bdr w:val="nil"/>
          <w:lang w:eastAsia="es-MX"/>
        </w:rPr>
        <w:t xml:space="preserve"> Red O </w:t>
      </w:r>
      <w:proofErr w:type="spellStart"/>
      <w:r w:rsidRPr="00E51026">
        <w:rPr>
          <w:rFonts w:ascii="Times" w:eastAsia="Calibri" w:hAnsi="Times" w:cs="Times"/>
          <w:color w:val="000000"/>
          <w:sz w:val="24"/>
          <w:szCs w:val="24"/>
          <w:u w:color="000000"/>
          <w:bdr w:val="nil"/>
          <w:lang w:eastAsia="es-MX"/>
        </w:rPr>
        <w:t>staining</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solution</w:t>
      </w:r>
      <w:proofErr w:type="spellEnd"/>
      <w:r w:rsidRPr="00E51026">
        <w:rPr>
          <w:rFonts w:ascii="Times" w:eastAsia="Calibri" w:hAnsi="Times" w:cs="Times"/>
          <w:color w:val="000000"/>
          <w:sz w:val="24"/>
          <w:szCs w:val="24"/>
          <w:u w:color="000000"/>
          <w:bdr w:val="nil"/>
          <w:lang w:eastAsia="es-MX"/>
        </w:rPr>
        <w:t xml:space="preserve"> (Sigma-Aldrich) (1.2mg/</w:t>
      </w:r>
      <w:proofErr w:type="spellStart"/>
      <w:r w:rsidRPr="00E51026">
        <w:rPr>
          <w:rFonts w:ascii="Times" w:eastAsia="Calibri" w:hAnsi="Times" w:cs="Times"/>
          <w:color w:val="000000"/>
          <w:sz w:val="24"/>
          <w:szCs w:val="24"/>
          <w:u w:color="000000"/>
          <w:bdr w:val="nil"/>
          <w:lang w:eastAsia="es-MX"/>
        </w:rPr>
        <w:t>mL</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Oil</w:t>
      </w:r>
      <w:proofErr w:type="spellEnd"/>
      <w:r w:rsidRPr="00E51026">
        <w:rPr>
          <w:rFonts w:ascii="Times" w:eastAsia="Calibri" w:hAnsi="Times" w:cs="Times"/>
          <w:color w:val="000000"/>
          <w:sz w:val="24"/>
          <w:szCs w:val="24"/>
          <w:u w:color="000000"/>
          <w:bdr w:val="nil"/>
          <w:lang w:eastAsia="es-MX"/>
        </w:rPr>
        <w:t xml:space="preserve"> Red O </w:t>
      </w:r>
      <w:proofErr w:type="spellStart"/>
      <w:r w:rsidRPr="00E51026">
        <w:rPr>
          <w:rFonts w:ascii="Times" w:eastAsia="Calibri" w:hAnsi="Times" w:cs="Times"/>
          <w:color w:val="000000"/>
          <w:sz w:val="24"/>
          <w:szCs w:val="24"/>
          <w:u w:color="000000"/>
          <w:bdr w:val="nil"/>
          <w:lang w:eastAsia="es-MX"/>
        </w:rPr>
        <w:t>dye</w:t>
      </w:r>
      <w:proofErr w:type="spellEnd"/>
      <w:r w:rsidRPr="00E51026">
        <w:rPr>
          <w:rFonts w:ascii="Times" w:eastAsia="Calibri" w:hAnsi="Times" w:cs="Times"/>
          <w:color w:val="000000"/>
          <w:sz w:val="24"/>
          <w:szCs w:val="24"/>
          <w:u w:color="000000"/>
          <w:bdr w:val="nil"/>
          <w:lang w:eastAsia="es-MX"/>
        </w:rPr>
        <w:t xml:space="preserve">/60% isopropanol </w:t>
      </w:r>
      <w:proofErr w:type="spellStart"/>
      <w:r w:rsidRPr="00E51026">
        <w:rPr>
          <w:rFonts w:ascii="Times" w:eastAsia="Calibri" w:hAnsi="Times" w:cs="Times"/>
          <w:color w:val="000000"/>
          <w:sz w:val="24"/>
          <w:szCs w:val="24"/>
          <w:u w:color="000000"/>
          <w:bdr w:val="nil"/>
          <w:lang w:eastAsia="es-MX"/>
        </w:rPr>
        <w:t>solution</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for</w:t>
      </w:r>
      <w:proofErr w:type="spellEnd"/>
      <w:r w:rsidRPr="00E51026">
        <w:rPr>
          <w:rFonts w:ascii="Times" w:eastAsia="Calibri" w:hAnsi="Times" w:cs="Times"/>
          <w:color w:val="000000"/>
          <w:sz w:val="24"/>
          <w:szCs w:val="24"/>
          <w:u w:color="000000"/>
          <w:bdr w:val="nil"/>
          <w:lang w:eastAsia="es-MX"/>
        </w:rPr>
        <w:t xml:space="preserve"> ten minutes at </w:t>
      </w:r>
      <w:proofErr w:type="spellStart"/>
      <w:r w:rsidRPr="00E51026">
        <w:rPr>
          <w:rFonts w:ascii="Times" w:eastAsia="Calibri" w:hAnsi="Times" w:cs="Times"/>
          <w:color w:val="000000"/>
          <w:sz w:val="24"/>
          <w:szCs w:val="24"/>
          <w:u w:color="000000"/>
          <w:bdr w:val="nil"/>
          <w:lang w:eastAsia="es-MX"/>
        </w:rPr>
        <w:t>room</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temperature</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The</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cells</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were</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washed</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with</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ethanol</w:t>
      </w:r>
      <w:proofErr w:type="spellEnd"/>
      <w:r w:rsidRPr="00E51026">
        <w:rPr>
          <w:rFonts w:ascii="Times" w:eastAsia="Calibri" w:hAnsi="Times" w:cs="Times"/>
          <w:color w:val="000000"/>
          <w:sz w:val="24"/>
          <w:szCs w:val="24"/>
          <w:u w:color="000000"/>
          <w:bdr w:val="nil"/>
          <w:lang w:eastAsia="es-MX"/>
        </w:rPr>
        <w:t xml:space="preserve"> and PBS </w:t>
      </w:r>
      <w:proofErr w:type="spellStart"/>
      <w:r w:rsidRPr="00E51026">
        <w:rPr>
          <w:rFonts w:ascii="Times" w:eastAsia="Calibri" w:hAnsi="Times" w:cs="Times"/>
          <w:color w:val="000000"/>
          <w:sz w:val="24"/>
          <w:szCs w:val="24"/>
          <w:u w:color="000000"/>
          <w:bdr w:val="nil"/>
          <w:lang w:eastAsia="es-MX"/>
        </w:rPr>
        <w:t>to</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remove</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Excess</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Oil</w:t>
      </w:r>
      <w:proofErr w:type="spellEnd"/>
      <w:r w:rsidRPr="00E51026">
        <w:rPr>
          <w:rFonts w:ascii="Times" w:eastAsia="Calibri" w:hAnsi="Times" w:cs="Times"/>
          <w:color w:val="000000"/>
          <w:sz w:val="24"/>
          <w:szCs w:val="24"/>
          <w:u w:color="000000"/>
          <w:bdr w:val="nil"/>
          <w:lang w:eastAsia="es-MX"/>
        </w:rPr>
        <w:t xml:space="preserve"> Red O </w:t>
      </w:r>
      <w:proofErr w:type="spellStart"/>
      <w:r w:rsidRPr="00E51026">
        <w:rPr>
          <w:rFonts w:ascii="Times" w:eastAsia="Calibri" w:hAnsi="Times" w:cs="Times"/>
          <w:color w:val="000000"/>
          <w:sz w:val="24"/>
          <w:szCs w:val="24"/>
          <w:u w:color="000000"/>
          <w:bdr w:val="nil"/>
          <w:lang w:eastAsia="es-MX"/>
        </w:rPr>
        <w:t>dye</w:t>
      </w:r>
      <w:proofErr w:type="spellEnd"/>
      <w:r w:rsidRPr="00E51026">
        <w:rPr>
          <w:rFonts w:ascii="Times" w:eastAsia="Calibri" w:hAnsi="Times" w:cs="Times"/>
          <w:color w:val="000000"/>
          <w:sz w:val="24"/>
          <w:szCs w:val="24"/>
          <w:u w:color="000000"/>
          <w:bdr w:val="nil"/>
          <w:lang w:eastAsia="es-MX"/>
        </w:rPr>
        <w:t xml:space="preserve"> and </w:t>
      </w:r>
      <w:proofErr w:type="spellStart"/>
      <w:r w:rsidRPr="00E51026">
        <w:rPr>
          <w:rFonts w:ascii="Times" w:eastAsia="Calibri" w:hAnsi="Times" w:cs="Times"/>
          <w:color w:val="000000"/>
          <w:sz w:val="24"/>
          <w:szCs w:val="24"/>
          <w:u w:color="000000"/>
          <w:bdr w:val="nil"/>
          <w:lang w:eastAsia="es-MX"/>
        </w:rPr>
        <w:t>photographed</w:t>
      </w:r>
      <w:proofErr w:type="spellEnd"/>
      <w:r w:rsidRPr="00E51026">
        <w:rPr>
          <w:rFonts w:ascii="Times" w:eastAsia="Calibri" w:hAnsi="Times" w:cs="Times"/>
          <w:color w:val="000000"/>
          <w:sz w:val="24"/>
          <w:szCs w:val="24"/>
          <w:u w:color="000000"/>
          <w:bdr w:val="nil"/>
          <w:lang w:eastAsia="es-MX"/>
        </w:rPr>
        <w:t xml:space="preserve"> at 10X </w:t>
      </w:r>
      <w:proofErr w:type="spellStart"/>
      <w:r w:rsidRPr="00E51026">
        <w:rPr>
          <w:rFonts w:ascii="Times" w:eastAsia="Calibri" w:hAnsi="Times" w:cs="Times"/>
          <w:color w:val="000000"/>
          <w:sz w:val="24"/>
          <w:szCs w:val="24"/>
          <w:u w:color="000000"/>
          <w:bdr w:val="nil"/>
          <w:lang w:eastAsia="es-MX"/>
        </w:rPr>
        <w:t>magnification</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To</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quantify</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intracellular</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lipid</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content</w:t>
      </w:r>
      <w:proofErr w:type="spellEnd"/>
      <w:r w:rsidRPr="00E51026">
        <w:rPr>
          <w:rFonts w:ascii="Times" w:eastAsia="Calibri" w:hAnsi="Times" w:cs="Times"/>
          <w:color w:val="000000"/>
          <w:sz w:val="24"/>
          <w:szCs w:val="24"/>
          <w:u w:color="000000"/>
          <w:bdr w:val="nil"/>
          <w:lang w:eastAsia="es-MX"/>
        </w:rPr>
        <w:t xml:space="preserve">, total </w:t>
      </w:r>
      <w:proofErr w:type="spellStart"/>
      <w:r w:rsidRPr="00E51026">
        <w:rPr>
          <w:rFonts w:ascii="Times" w:eastAsia="Calibri" w:hAnsi="Times" w:cs="Times"/>
          <w:color w:val="000000"/>
          <w:sz w:val="24"/>
          <w:szCs w:val="24"/>
          <w:u w:color="000000"/>
          <w:bdr w:val="nil"/>
          <w:lang w:eastAsia="es-MX"/>
        </w:rPr>
        <w:t>lipids</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were</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extracted</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with</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isopropyl</w:t>
      </w:r>
      <w:proofErr w:type="spellEnd"/>
      <w:r w:rsidRPr="00E51026">
        <w:rPr>
          <w:rFonts w:ascii="Times" w:eastAsia="Calibri" w:hAnsi="Times" w:cs="Times"/>
          <w:color w:val="000000"/>
          <w:sz w:val="24"/>
          <w:szCs w:val="24"/>
          <w:u w:color="000000"/>
          <w:bdr w:val="nil"/>
          <w:lang w:eastAsia="es-MX"/>
        </w:rPr>
        <w:t xml:space="preserve"> alcohol and </w:t>
      </w:r>
      <w:proofErr w:type="spellStart"/>
      <w:r w:rsidRPr="00E51026">
        <w:rPr>
          <w:rFonts w:ascii="Times" w:eastAsia="Calibri" w:hAnsi="Times" w:cs="Times"/>
          <w:color w:val="000000"/>
          <w:sz w:val="24"/>
          <w:szCs w:val="24"/>
          <w:u w:color="000000"/>
          <w:bdr w:val="nil"/>
          <w:lang w:eastAsia="es-MX"/>
        </w:rPr>
        <w:t>evaluated</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by</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spectrometry</w:t>
      </w:r>
      <w:proofErr w:type="spellEnd"/>
      <w:r w:rsidRPr="00E51026">
        <w:rPr>
          <w:rFonts w:ascii="Times" w:eastAsia="Calibri" w:hAnsi="Times" w:cs="Times"/>
          <w:color w:val="000000"/>
          <w:sz w:val="24"/>
          <w:szCs w:val="24"/>
          <w:u w:color="000000"/>
          <w:bdr w:val="nil"/>
          <w:lang w:eastAsia="es-MX"/>
        </w:rPr>
        <w:t xml:space="preserve"> at 510 nm. Data </w:t>
      </w:r>
      <w:proofErr w:type="spellStart"/>
      <w:r w:rsidRPr="00E51026">
        <w:rPr>
          <w:rFonts w:ascii="Times" w:eastAsia="Calibri" w:hAnsi="Times" w:cs="Times"/>
          <w:color w:val="000000"/>
          <w:sz w:val="24"/>
          <w:szCs w:val="24"/>
          <w:u w:color="000000"/>
          <w:bdr w:val="nil"/>
          <w:lang w:eastAsia="es-MX"/>
        </w:rPr>
        <w:t>were</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normalized</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to</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the</w:t>
      </w:r>
      <w:proofErr w:type="spellEnd"/>
      <w:r w:rsidRPr="00E51026">
        <w:rPr>
          <w:rFonts w:ascii="Times" w:eastAsia="Calibri" w:hAnsi="Times" w:cs="Times"/>
          <w:color w:val="000000"/>
          <w:sz w:val="24"/>
          <w:szCs w:val="24"/>
          <w:u w:color="000000"/>
          <w:bdr w:val="nil"/>
          <w:lang w:eastAsia="es-MX"/>
        </w:rPr>
        <w:t xml:space="preserve"> control </w:t>
      </w:r>
      <w:proofErr w:type="spellStart"/>
      <w:r w:rsidRPr="00E51026">
        <w:rPr>
          <w:rFonts w:ascii="Times" w:eastAsia="Calibri" w:hAnsi="Times" w:cs="Times"/>
          <w:color w:val="000000"/>
          <w:sz w:val="24"/>
          <w:szCs w:val="24"/>
          <w:u w:color="000000"/>
          <w:bdr w:val="nil"/>
          <w:lang w:eastAsia="es-MX"/>
        </w:rPr>
        <w:t>according</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to</w:t>
      </w:r>
      <w:proofErr w:type="spellEnd"/>
      <w:r w:rsidRPr="00E51026">
        <w:rPr>
          <w:rFonts w:ascii="Times" w:eastAsia="Calibri" w:hAnsi="Times" w:cs="Times"/>
          <w:color w:val="000000"/>
          <w:sz w:val="24"/>
          <w:szCs w:val="24"/>
          <w:u w:color="000000"/>
          <w:bdr w:val="nil"/>
          <w:lang w:eastAsia="es-MX"/>
        </w:rPr>
        <w:t xml:space="preserve"> a </w:t>
      </w:r>
      <w:proofErr w:type="spellStart"/>
      <w:r w:rsidRPr="00E51026">
        <w:rPr>
          <w:rFonts w:ascii="Times" w:eastAsia="Calibri" w:hAnsi="Times" w:cs="Times"/>
          <w:color w:val="000000"/>
          <w:sz w:val="24"/>
          <w:szCs w:val="24"/>
          <w:u w:color="000000"/>
          <w:bdr w:val="nil"/>
          <w:lang w:eastAsia="es-MX"/>
        </w:rPr>
        <w:t>previously</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reported</w:t>
      </w:r>
      <w:proofErr w:type="spellEnd"/>
      <w:r w:rsidRPr="00E51026">
        <w:rPr>
          <w:rFonts w:ascii="Times" w:eastAsia="Calibri" w:hAnsi="Times" w:cs="Times"/>
          <w:color w:val="000000"/>
          <w:sz w:val="24"/>
          <w:szCs w:val="24"/>
          <w:u w:color="000000"/>
          <w:bdr w:val="nil"/>
          <w:lang w:eastAsia="es-MX"/>
        </w:rPr>
        <w:t xml:space="preserve"> </w:t>
      </w:r>
      <w:proofErr w:type="spellStart"/>
      <w:r w:rsidRPr="00E51026">
        <w:rPr>
          <w:rFonts w:ascii="Times" w:eastAsia="Calibri" w:hAnsi="Times" w:cs="Times"/>
          <w:color w:val="000000"/>
          <w:sz w:val="24"/>
          <w:szCs w:val="24"/>
          <w:u w:color="000000"/>
          <w:bdr w:val="nil"/>
          <w:lang w:eastAsia="es-MX"/>
        </w:rPr>
        <w:t>technique</w:t>
      </w:r>
      <w:proofErr w:type="spellEnd"/>
      <w:r w:rsidRPr="00E51026">
        <w:rPr>
          <w:rFonts w:ascii="Times" w:eastAsia="Calibri" w:hAnsi="Times" w:cs="Times"/>
          <w:color w:val="000000"/>
          <w:sz w:val="24"/>
          <w:szCs w:val="24"/>
          <w:u w:color="000000"/>
          <w:bdr w:val="nil"/>
          <w:lang w:eastAsia="es-MX"/>
        </w:rPr>
        <w:t xml:space="preserve"> </w:t>
      </w:r>
      <w:r w:rsidRPr="00E51026">
        <w:rPr>
          <w:rFonts w:ascii="Times" w:eastAsia="Calibri" w:hAnsi="Times" w:cs="Times"/>
          <w:color w:val="000000"/>
          <w:sz w:val="24"/>
          <w:szCs w:val="24"/>
          <w:u w:color="000000"/>
          <w:bdr w:val="nil"/>
          <w:lang w:eastAsia="es-MX"/>
        </w:rPr>
        <w:fldChar w:fldCharType="begin" w:fldLock="1"/>
      </w:r>
      <w:r>
        <w:rPr>
          <w:rFonts w:ascii="Times" w:eastAsia="Calibri" w:hAnsi="Times" w:cs="Times"/>
          <w:color w:val="000000"/>
          <w:sz w:val="24"/>
          <w:szCs w:val="24"/>
          <w:u w:color="000000"/>
          <w:bdr w:val="nil"/>
          <w:lang w:eastAsia="es-MX"/>
        </w:rPr>
        <w:instrText>ADDIN CSL_CITATION {"citationItems":[{"id":"ITEM-1","itemData":{"DOI":"10.1016/j.ejphar.2008.03.051","ISSN":"00142999","PMID":"18499099","abstract":"Obesity and type 2 diabetes course with chronic low-grade inflammation, where adiponectin is down-regulated and pro-inflammatory markers, like interleukin (IL)-6, tumor necrosis factor alpha (TNF-alpha), and C-reactive protein (CRP), are up-regulated. A treatment option to improve the micro- and macro-complications in type 2 diabetes is the use of glycine, which has been demonstrated previously to increase the expression of anti-inflammatory cytokine IL-10 in monocytes and down-regulate the expression of TNF-alpha in monocytes and Kupffer cells. Recently, our group demonstrated that glycine decreases the pro-inflammatory plasmatic cytokines in type 2 diabetes. The aim of this study was to test the effect of glycine on adipokines expression in 3T3-L1 cells. Cells were grown and differentiated in the presence of 10 mM glycine. After 2 days of confluence, cells were differentiated to adipocytes in the same medium supplemented with insulin, dexamethasone, and 3-isobutyl-1-methylxanthine. The RNA was extracted at days 0 and 8 of differentiation (fibroblasts and mature adipocyte phenotypes, respectively). The expression of PPAR-gamma (peroxisome proliferator-activated receptor-gamma), adiponectin, resistin, IL-6 and TNF-alpha were analyzed by real-time PCR. We demonstrated that when 3T3-L1 cells were treated with glycine, IL-6, resistin and TNF-alpha mRNA expression was decreased, but surprisingly adiponectin and PPAR-gamma were up-regulated. In all cases the values were statistically significant (P&lt;0.05) between glycine treatment and controls. These results show that glycine improves the pro-inflammatory profile and up-regulates adiponectin gene expression. Therefore, glycine could be useful as a modulator of the pro-inflammatory state observed in obesity and type 2 diabetes.","author":[{"dropping-particle":"","family":"Garcia-Macedo","given":"Rebeca","non-dropping-particle":"","parse-names":false,"suffix":""},{"dropping-particle":"","family":"Sanchez-Muñoz","given":"Fausto","non-dropping-particle":"","parse-names":false,"suffix":""},{"dropping-particle":"","family":"Almanza-Perez","given":"Julio Cesar","non-dropping-particle":"","parse-names":false,"suffix":""},{"dropping-particle":"","family":"Duran-Reyes","given":"Genoveva","non-dropping-particle":"","parse-names":false,"suffix":""},{"dropping-particle":"","family":"Alarcon-Aguilar","given":"Francisco","non-dropping-particle":"","parse-names":false,"suffix":""},{"dropping-particle":"","family":"Cruz","given":"Miguel","non-dropping-particle":"","parse-names":false,"suffix":""}],"container-title":"European Journal of Pharmacology","id":"ITEM-1","issue":"1-3","issued":{"date-parts":[["2008","6","10"]]},"page":"317-321","title":"Glycine increases mRNA adiponectin and diminishes pro-inflammatory adipokines expression in 3T3-L1 cells","type":"article-journal","volume":"587"},"uris":["http://www.mendeley.com/documents/?uuid=250c16e3-f94b-3bcf-900a-f82353e16349"]}],"mendeley":{"formattedCitation":"(Garcia-Macedo et al., 2008)","plainTextFormattedCitation":"(Garcia-Macedo et al., 2008)","previouslyFormattedCitation":"(Garcia-Macedo et al., 2008)"},"properties":{"noteIndex":0},"schema":"https://github.com/citation-style-language/schema/raw/master/csl-citation.json"}</w:instrText>
      </w:r>
      <w:r w:rsidRPr="00E51026">
        <w:rPr>
          <w:rFonts w:ascii="Times" w:eastAsia="Calibri" w:hAnsi="Times" w:cs="Times"/>
          <w:color w:val="000000"/>
          <w:sz w:val="24"/>
          <w:szCs w:val="24"/>
          <w:u w:color="000000"/>
          <w:bdr w:val="nil"/>
          <w:lang w:eastAsia="es-MX"/>
        </w:rPr>
        <w:fldChar w:fldCharType="separate"/>
      </w:r>
      <w:r w:rsidRPr="00682CC4">
        <w:rPr>
          <w:rFonts w:ascii="Times" w:eastAsia="Calibri" w:hAnsi="Times" w:cs="Times"/>
          <w:noProof/>
          <w:color w:val="000000"/>
          <w:sz w:val="24"/>
          <w:szCs w:val="24"/>
          <w:u w:color="000000"/>
          <w:bdr w:val="nil"/>
          <w:lang w:eastAsia="es-MX"/>
        </w:rPr>
        <w:t>(Garcia-Macedo et al., 2008)</w:t>
      </w:r>
      <w:r w:rsidRPr="00E51026">
        <w:rPr>
          <w:rFonts w:ascii="Times" w:eastAsia="Calibri" w:hAnsi="Times" w:cs="Times"/>
          <w:color w:val="000000"/>
          <w:sz w:val="24"/>
          <w:szCs w:val="24"/>
          <w:u w:color="000000"/>
          <w:bdr w:val="nil"/>
          <w:lang w:eastAsia="es-MX"/>
        </w:rPr>
        <w:fldChar w:fldCharType="end"/>
      </w:r>
      <w:r w:rsidRPr="00E51026">
        <w:rPr>
          <w:rFonts w:ascii="Times" w:eastAsia="Calibri" w:hAnsi="Times" w:cs="Times"/>
          <w:color w:val="000000"/>
          <w:sz w:val="24"/>
          <w:szCs w:val="24"/>
          <w:u w:color="000000"/>
          <w:bdr w:val="nil"/>
          <w:lang w:eastAsia="es-MX"/>
        </w:rPr>
        <w:t>.</w:t>
      </w:r>
      <w:bookmarkEnd w:id="0"/>
    </w:p>
    <w:p w14:paraId="6239CE2A" w14:textId="5614D676" w:rsidR="00917178" w:rsidRDefault="00917178" w:rsidP="00917178">
      <w:pPr>
        <w:pStyle w:val="MDPI31text"/>
        <w:spacing w:line="276" w:lineRule="auto"/>
        <w:jc w:val="left"/>
        <w:rPr>
          <w:rFonts w:ascii="Times" w:hAnsi="Times"/>
          <w:sz w:val="24"/>
          <w:szCs w:val="24"/>
        </w:rPr>
      </w:pPr>
    </w:p>
    <w:p w14:paraId="61F55F95" w14:textId="7F7CA21C" w:rsidR="00917178" w:rsidRPr="0064302B" w:rsidRDefault="00917178" w:rsidP="00917178">
      <w:pPr>
        <w:pStyle w:val="MDPI31text"/>
        <w:spacing w:line="276" w:lineRule="auto"/>
        <w:ind w:firstLine="0"/>
        <w:jc w:val="left"/>
        <w:rPr>
          <w:rFonts w:ascii="Times" w:hAnsi="Times"/>
          <w:b/>
          <w:bCs/>
          <w:sz w:val="24"/>
          <w:szCs w:val="24"/>
        </w:rPr>
      </w:pPr>
      <w:proofErr w:type="spellStart"/>
      <w:r>
        <w:rPr>
          <w:rFonts w:ascii="Times" w:hAnsi="Times"/>
          <w:b/>
          <w:bCs/>
          <w:sz w:val="24"/>
          <w:szCs w:val="24"/>
        </w:rPr>
        <w:t>Pparg</w:t>
      </w:r>
      <w:proofErr w:type="spellEnd"/>
      <w:r>
        <w:rPr>
          <w:rFonts w:ascii="Times" w:hAnsi="Times"/>
          <w:b/>
          <w:bCs/>
          <w:sz w:val="24"/>
          <w:szCs w:val="24"/>
        </w:rPr>
        <w:t xml:space="preserve">, Glut4 and </w:t>
      </w:r>
      <w:proofErr w:type="spellStart"/>
      <w:r>
        <w:rPr>
          <w:rFonts w:ascii="Times" w:hAnsi="Times"/>
          <w:b/>
          <w:bCs/>
          <w:sz w:val="24"/>
          <w:szCs w:val="24"/>
        </w:rPr>
        <w:t>Cebpa</w:t>
      </w:r>
      <w:proofErr w:type="spellEnd"/>
      <w:r w:rsidRPr="0064302B">
        <w:rPr>
          <w:rFonts w:ascii="Times" w:hAnsi="Times"/>
          <w:b/>
          <w:bCs/>
          <w:sz w:val="24"/>
          <w:szCs w:val="24"/>
        </w:rPr>
        <w:t xml:space="preserve"> determination by RT-qPCR </w:t>
      </w:r>
    </w:p>
    <w:p w14:paraId="1D60BFBB" w14:textId="2EDF39D8" w:rsidR="00917178" w:rsidRDefault="00917178" w:rsidP="00917178">
      <w:pPr>
        <w:pStyle w:val="MDPI31text"/>
        <w:spacing w:line="276" w:lineRule="auto"/>
        <w:jc w:val="left"/>
        <w:rPr>
          <w:rFonts w:ascii="Times" w:hAnsi="Times"/>
          <w:sz w:val="24"/>
          <w:szCs w:val="24"/>
        </w:rPr>
      </w:pPr>
      <w:proofErr w:type="spellStart"/>
      <w:r w:rsidRPr="00917178">
        <w:rPr>
          <w:rFonts w:ascii="Times" w:hAnsi="Times"/>
          <w:i/>
          <w:iCs/>
          <w:sz w:val="24"/>
          <w:szCs w:val="24"/>
        </w:rPr>
        <w:t>Pparg</w:t>
      </w:r>
      <w:proofErr w:type="spellEnd"/>
      <w:r w:rsidRPr="00917178">
        <w:rPr>
          <w:rFonts w:ascii="Times" w:hAnsi="Times"/>
          <w:sz w:val="24"/>
          <w:szCs w:val="24"/>
        </w:rPr>
        <w:t xml:space="preserve">, </w:t>
      </w:r>
      <w:r w:rsidRPr="00917178">
        <w:rPr>
          <w:rFonts w:ascii="Times" w:hAnsi="Times"/>
          <w:i/>
          <w:iCs/>
          <w:sz w:val="24"/>
          <w:szCs w:val="24"/>
        </w:rPr>
        <w:t>Glut4</w:t>
      </w:r>
      <w:r w:rsidRPr="00917178">
        <w:rPr>
          <w:rFonts w:ascii="Times" w:hAnsi="Times"/>
          <w:sz w:val="24"/>
          <w:szCs w:val="24"/>
        </w:rPr>
        <w:t xml:space="preserve"> and </w:t>
      </w:r>
      <w:proofErr w:type="spellStart"/>
      <w:r w:rsidRPr="00917178">
        <w:rPr>
          <w:rFonts w:ascii="Times" w:hAnsi="Times"/>
          <w:i/>
          <w:iCs/>
          <w:sz w:val="24"/>
          <w:szCs w:val="24"/>
        </w:rPr>
        <w:t>Cebpa</w:t>
      </w:r>
      <w:proofErr w:type="spellEnd"/>
      <w:r w:rsidRPr="00917178">
        <w:rPr>
          <w:rFonts w:ascii="Times" w:hAnsi="Times"/>
          <w:sz w:val="24"/>
          <w:szCs w:val="24"/>
        </w:rPr>
        <w:t xml:space="preserve"> </w:t>
      </w:r>
      <w:r>
        <w:rPr>
          <w:rFonts w:ascii="Times" w:hAnsi="Times"/>
          <w:sz w:val="24"/>
          <w:szCs w:val="24"/>
        </w:rPr>
        <w:t xml:space="preserve">expression </w:t>
      </w:r>
      <w:r w:rsidRPr="0064302B">
        <w:rPr>
          <w:rFonts w:ascii="Times" w:hAnsi="Times"/>
          <w:sz w:val="24"/>
          <w:szCs w:val="24"/>
        </w:rPr>
        <w:t xml:space="preserve">were determined using two-step RT-qPCR </w:t>
      </w:r>
      <w:r>
        <w:rPr>
          <w:rFonts w:ascii="Times" w:hAnsi="Times"/>
          <w:sz w:val="24"/>
          <w:szCs w:val="24"/>
        </w:rPr>
        <w:t xml:space="preserve">in </w:t>
      </w:r>
      <w:r w:rsidRPr="0064302B">
        <w:rPr>
          <w:rFonts w:ascii="Times" w:hAnsi="Times"/>
          <w:sz w:val="24"/>
          <w:szCs w:val="24"/>
        </w:rPr>
        <w:t>combination with TaqMan probes</w:t>
      </w:r>
      <w:r>
        <w:rPr>
          <w:rFonts w:ascii="Times" w:hAnsi="Times"/>
          <w:sz w:val="24"/>
          <w:szCs w:val="24"/>
        </w:rPr>
        <w:t>:</w:t>
      </w:r>
      <w:r w:rsidR="002855F4">
        <w:rPr>
          <w:rFonts w:ascii="Times" w:hAnsi="Times"/>
          <w:sz w:val="24"/>
          <w:szCs w:val="24"/>
        </w:rPr>
        <w:t xml:space="preserve"> </w:t>
      </w:r>
      <w:proofErr w:type="spellStart"/>
      <w:r w:rsidR="00A70A71" w:rsidRPr="00A70A71">
        <w:rPr>
          <w:rFonts w:ascii="Times" w:hAnsi="Times"/>
          <w:i/>
          <w:iCs/>
          <w:sz w:val="24"/>
          <w:szCs w:val="24"/>
        </w:rPr>
        <w:t>Cebpa</w:t>
      </w:r>
      <w:proofErr w:type="spellEnd"/>
      <w:r w:rsidR="00A70A71">
        <w:rPr>
          <w:rFonts w:ascii="Times" w:hAnsi="Times"/>
          <w:sz w:val="24"/>
          <w:szCs w:val="24"/>
        </w:rPr>
        <w:t xml:space="preserve">: Left 5’ </w:t>
      </w:r>
      <w:proofErr w:type="spellStart"/>
      <w:r w:rsidR="00A70A71" w:rsidRPr="00A70A71">
        <w:rPr>
          <w:rFonts w:ascii="Times" w:hAnsi="Times"/>
          <w:sz w:val="24"/>
          <w:szCs w:val="24"/>
        </w:rPr>
        <w:t>cgctggtgatcaaacaagag</w:t>
      </w:r>
      <w:proofErr w:type="spellEnd"/>
      <w:r w:rsidR="00A70A71">
        <w:rPr>
          <w:rFonts w:ascii="Times" w:hAnsi="Times"/>
          <w:sz w:val="24"/>
          <w:szCs w:val="24"/>
        </w:rPr>
        <w:t xml:space="preserve"> 3’, Right 5’ </w:t>
      </w:r>
      <w:proofErr w:type="spellStart"/>
      <w:r w:rsidR="00A70A71" w:rsidRPr="00A70A71">
        <w:rPr>
          <w:rFonts w:ascii="Times" w:hAnsi="Times"/>
          <w:sz w:val="24"/>
          <w:szCs w:val="24"/>
        </w:rPr>
        <w:t>ggtggctggtaggggaag</w:t>
      </w:r>
      <w:proofErr w:type="spellEnd"/>
      <w:r w:rsidR="00A70A71">
        <w:rPr>
          <w:rFonts w:ascii="Times" w:hAnsi="Times"/>
          <w:sz w:val="24"/>
          <w:szCs w:val="24"/>
        </w:rPr>
        <w:t xml:space="preserve"> 3’, Probe: </w:t>
      </w:r>
      <w:r w:rsidR="00A70A71">
        <w:rPr>
          <w:rFonts w:ascii="Times" w:hAnsi="Times" w:cs="Times"/>
          <w:sz w:val="24"/>
          <w:szCs w:val="24"/>
        </w:rPr>
        <w:t>#</w:t>
      </w:r>
      <w:r w:rsidR="00A70A71">
        <w:rPr>
          <w:rFonts w:ascii="Times" w:hAnsi="Times"/>
          <w:sz w:val="24"/>
          <w:szCs w:val="24"/>
        </w:rPr>
        <w:t xml:space="preserve">101; </w:t>
      </w:r>
      <w:r w:rsidR="00A70A71">
        <w:rPr>
          <w:rFonts w:ascii="Times" w:hAnsi="Times"/>
          <w:i/>
          <w:iCs/>
          <w:sz w:val="24"/>
          <w:szCs w:val="24"/>
        </w:rPr>
        <w:t>Glut4</w:t>
      </w:r>
      <w:r w:rsidR="00A70A71">
        <w:rPr>
          <w:rFonts w:ascii="Times" w:hAnsi="Times"/>
          <w:sz w:val="24"/>
          <w:szCs w:val="24"/>
        </w:rPr>
        <w:t xml:space="preserve">: Left 5’ </w:t>
      </w:r>
      <w:proofErr w:type="spellStart"/>
      <w:r w:rsidR="00A70A71" w:rsidRPr="00A70A71">
        <w:rPr>
          <w:rFonts w:ascii="Times" w:hAnsi="Times"/>
          <w:sz w:val="24"/>
          <w:szCs w:val="24"/>
        </w:rPr>
        <w:t>gacggacactccatctgttg</w:t>
      </w:r>
      <w:proofErr w:type="spellEnd"/>
      <w:r w:rsidR="00A70A71">
        <w:rPr>
          <w:rFonts w:ascii="Times" w:hAnsi="Times"/>
          <w:sz w:val="24"/>
          <w:szCs w:val="24"/>
        </w:rPr>
        <w:t xml:space="preserve"> 3’, Right 5’ </w:t>
      </w:r>
      <w:proofErr w:type="spellStart"/>
      <w:r w:rsidR="00A70A71" w:rsidRPr="00A70A71">
        <w:rPr>
          <w:rFonts w:ascii="Times" w:hAnsi="Times"/>
          <w:sz w:val="24"/>
          <w:szCs w:val="24"/>
        </w:rPr>
        <w:t>gccacgatggagacatagc</w:t>
      </w:r>
      <w:proofErr w:type="spellEnd"/>
      <w:r w:rsidR="00A70A71">
        <w:rPr>
          <w:rFonts w:ascii="Times" w:hAnsi="Times"/>
          <w:sz w:val="24"/>
          <w:szCs w:val="24"/>
        </w:rPr>
        <w:t xml:space="preserve"> 3’, Probe: </w:t>
      </w:r>
      <w:r w:rsidR="00A70A71">
        <w:rPr>
          <w:rFonts w:ascii="Times" w:hAnsi="Times" w:cs="Times"/>
          <w:sz w:val="24"/>
          <w:szCs w:val="24"/>
        </w:rPr>
        <w:t>#</w:t>
      </w:r>
      <w:r w:rsidR="00A70A71">
        <w:rPr>
          <w:rFonts w:ascii="Times" w:hAnsi="Times"/>
          <w:sz w:val="24"/>
          <w:szCs w:val="24"/>
        </w:rPr>
        <w:t xml:space="preserve">5; </w:t>
      </w:r>
      <w:proofErr w:type="spellStart"/>
      <w:r w:rsidR="00A70A71" w:rsidRPr="00A70A71">
        <w:rPr>
          <w:rFonts w:ascii="Times" w:hAnsi="Times"/>
          <w:i/>
          <w:iCs/>
          <w:sz w:val="24"/>
          <w:szCs w:val="24"/>
        </w:rPr>
        <w:t>Pparg</w:t>
      </w:r>
      <w:proofErr w:type="spellEnd"/>
      <w:r w:rsidR="00A70A71" w:rsidRPr="00A70A71">
        <w:rPr>
          <w:rFonts w:ascii="Times" w:hAnsi="Times"/>
          <w:sz w:val="24"/>
          <w:szCs w:val="24"/>
        </w:rPr>
        <w:t>:</w:t>
      </w:r>
      <w:r w:rsidR="00A70A71">
        <w:rPr>
          <w:rFonts w:ascii="Times" w:hAnsi="Times"/>
          <w:i/>
          <w:iCs/>
          <w:sz w:val="24"/>
          <w:szCs w:val="24"/>
        </w:rPr>
        <w:t xml:space="preserve"> </w:t>
      </w:r>
      <w:r w:rsidR="00A70A71">
        <w:rPr>
          <w:rFonts w:ascii="Times" w:hAnsi="Times"/>
          <w:sz w:val="24"/>
          <w:szCs w:val="24"/>
        </w:rPr>
        <w:t xml:space="preserve">Left 5’ </w:t>
      </w:r>
      <w:proofErr w:type="spellStart"/>
      <w:r w:rsidR="00A70A71" w:rsidRPr="00A70A71">
        <w:rPr>
          <w:rFonts w:ascii="Times" w:hAnsi="Times"/>
          <w:sz w:val="24"/>
          <w:szCs w:val="24"/>
        </w:rPr>
        <w:t>gaaagacaacggacaaatcacc</w:t>
      </w:r>
      <w:proofErr w:type="spellEnd"/>
      <w:r w:rsidR="00A70A71">
        <w:rPr>
          <w:rFonts w:ascii="Times" w:hAnsi="Times"/>
          <w:sz w:val="24"/>
          <w:szCs w:val="24"/>
        </w:rPr>
        <w:t xml:space="preserve"> 3’, Right 5’ </w:t>
      </w:r>
      <w:proofErr w:type="spellStart"/>
      <w:r w:rsidR="00A70A71" w:rsidRPr="00A70A71">
        <w:rPr>
          <w:rFonts w:ascii="Times" w:hAnsi="Times"/>
          <w:sz w:val="24"/>
          <w:szCs w:val="24"/>
        </w:rPr>
        <w:t>gggggtgatatgtttgaacttg</w:t>
      </w:r>
      <w:proofErr w:type="spellEnd"/>
      <w:r w:rsidR="00A70A71">
        <w:rPr>
          <w:rFonts w:ascii="Times" w:hAnsi="Times"/>
          <w:sz w:val="24"/>
          <w:szCs w:val="24"/>
        </w:rPr>
        <w:t xml:space="preserve"> 3’ Probe: </w:t>
      </w:r>
      <w:r w:rsidR="00A70A71">
        <w:rPr>
          <w:rFonts w:ascii="Times" w:hAnsi="Times" w:cs="Times"/>
          <w:sz w:val="24"/>
          <w:szCs w:val="24"/>
        </w:rPr>
        <w:t>#</w:t>
      </w:r>
      <w:r w:rsidR="00A70A71">
        <w:rPr>
          <w:rFonts w:ascii="Times" w:hAnsi="Times"/>
          <w:sz w:val="24"/>
          <w:szCs w:val="24"/>
        </w:rPr>
        <w:t>7</w:t>
      </w:r>
      <w:r w:rsidR="002855F4">
        <w:rPr>
          <w:rFonts w:ascii="Times" w:hAnsi="Times"/>
          <w:sz w:val="24"/>
          <w:szCs w:val="24"/>
        </w:rPr>
        <w:t xml:space="preserve">; </w:t>
      </w:r>
      <w:proofErr w:type="spellStart"/>
      <w:r w:rsidR="002855F4" w:rsidRPr="002855F4">
        <w:rPr>
          <w:rFonts w:ascii="Times" w:hAnsi="Times"/>
          <w:i/>
          <w:iCs/>
          <w:sz w:val="24"/>
          <w:szCs w:val="24"/>
        </w:rPr>
        <w:t>Gapdh</w:t>
      </w:r>
      <w:proofErr w:type="spellEnd"/>
      <w:r w:rsidR="002855F4">
        <w:rPr>
          <w:rFonts w:ascii="Times" w:hAnsi="Times"/>
          <w:i/>
          <w:iCs/>
          <w:sz w:val="24"/>
          <w:szCs w:val="24"/>
        </w:rPr>
        <w:t xml:space="preserve">: </w:t>
      </w:r>
      <w:r w:rsidR="002855F4" w:rsidRPr="002855F4">
        <w:rPr>
          <w:rFonts w:ascii="Times" w:hAnsi="Times"/>
          <w:sz w:val="24"/>
          <w:szCs w:val="24"/>
        </w:rPr>
        <w:t xml:space="preserve">Left </w:t>
      </w:r>
      <w:r w:rsidR="002855F4">
        <w:rPr>
          <w:rFonts w:ascii="Times" w:hAnsi="Times"/>
          <w:sz w:val="24"/>
          <w:szCs w:val="24"/>
        </w:rPr>
        <w:t xml:space="preserve">5’ </w:t>
      </w:r>
      <w:proofErr w:type="spellStart"/>
      <w:r w:rsidR="002855F4" w:rsidRPr="002855F4">
        <w:rPr>
          <w:rFonts w:ascii="Times" w:hAnsi="Times"/>
          <w:sz w:val="24"/>
          <w:szCs w:val="24"/>
        </w:rPr>
        <w:t>aagagggatgctgcccttac</w:t>
      </w:r>
      <w:proofErr w:type="spellEnd"/>
      <w:r w:rsidR="002855F4">
        <w:rPr>
          <w:rFonts w:ascii="Times" w:hAnsi="Times"/>
          <w:sz w:val="24"/>
          <w:szCs w:val="24"/>
        </w:rPr>
        <w:t xml:space="preserve"> 3’, Right 5’ </w:t>
      </w:r>
      <w:proofErr w:type="spellStart"/>
      <w:r w:rsidR="002855F4" w:rsidRPr="002855F4">
        <w:rPr>
          <w:rFonts w:ascii="Times" w:hAnsi="Times"/>
          <w:sz w:val="24"/>
          <w:szCs w:val="24"/>
        </w:rPr>
        <w:t>ccattttgtctacgggacga</w:t>
      </w:r>
      <w:proofErr w:type="spellEnd"/>
      <w:r w:rsidR="002855F4">
        <w:rPr>
          <w:rFonts w:ascii="Times" w:hAnsi="Times"/>
          <w:sz w:val="24"/>
          <w:szCs w:val="24"/>
        </w:rPr>
        <w:t xml:space="preserve"> 3’, Probe: </w:t>
      </w:r>
      <w:r w:rsidR="002855F4">
        <w:rPr>
          <w:rFonts w:ascii="Times" w:hAnsi="Times" w:cs="Times"/>
          <w:sz w:val="24"/>
          <w:szCs w:val="24"/>
        </w:rPr>
        <w:t>#</w:t>
      </w:r>
      <w:r w:rsidR="002855F4">
        <w:rPr>
          <w:rFonts w:ascii="Times" w:hAnsi="Times"/>
          <w:sz w:val="24"/>
          <w:szCs w:val="24"/>
        </w:rPr>
        <w:t xml:space="preserve">33. </w:t>
      </w:r>
      <w:r w:rsidRPr="0064302B">
        <w:rPr>
          <w:rFonts w:ascii="Times" w:hAnsi="Times"/>
          <w:sz w:val="24"/>
          <w:szCs w:val="24"/>
        </w:rPr>
        <w:t xml:space="preserve">Each RT-reaction used </w:t>
      </w:r>
      <w:r>
        <w:rPr>
          <w:rFonts w:ascii="Times" w:hAnsi="Times"/>
          <w:sz w:val="24"/>
          <w:szCs w:val="24"/>
        </w:rPr>
        <w:t>500 ng of RNA</w:t>
      </w:r>
      <w:r w:rsidRPr="0064302B">
        <w:rPr>
          <w:rFonts w:ascii="Times" w:hAnsi="Times"/>
          <w:sz w:val="24"/>
          <w:szCs w:val="24"/>
        </w:rPr>
        <w:t xml:space="preserve"> using the </w:t>
      </w:r>
      <w:proofErr w:type="spellStart"/>
      <w:r w:rsidRPr="00917178">
        <w:rPr>
          <w:rFonts w:ascii="Times" w:hAnsi="Times"/>
          <w:sz w:val="24"/>
          <w:szCs w:val="24"/>
        </w:rPr>
        <w:t>QuantiNova</w:t>
      </w:r>
      <w:proofErr w:type="spellEnd"/>
      <w:r w:rsidRPr="00917178">
        <w:rPr>
          <w:rFonts w:ascii="Times" w:hAnsi="Times"/>
          <w:sz w:val="24"/>
          <w:szCs w:val="24"/>
        </w:rPr>
        <w:t xml:space="preserve"> Reverse Transcription Kit </w:t>
      </w:r>
      <w:r w:rsidRPr="0064302B">
        <w:rPr>
          <w:rFonts w:ascii="Times" w:hAnsi="Times"/>
          <w:sz w:val="24"/>
          <w:szCs w:val="24"/>
        </w:rPr>
        <w:t xml:space="preserve">(Qiagen; Hilden, Germany). The RT reaction program and PCR cycling conditions were as we previously reported </w:t>
      </w:r>
      <w:r w:rsidRPr="0064302B">
        <w:rPr>
          <w:rFonts w:ascii="Times" w:hAnsi="Times"/>
          <w:sz w:val="24"/>
          <w:szCs w:val="24"/>
        </w:rPr>
        <w:fldChar w:fldCharType="begin" w:fldLock="1"/>
      </w:r>
      <w:r>
        <w:rPr>
          <w:rFonts w:ascii="Times" w:hAnsi="Times"/>
          <w:sz w:val="24"/>
          <w:szCs w:val="24"/>
        </w:rPr>
        <w:instrText>ADDIN CSL_CITATION {"citationItems":[{"id":"ITEM-1","itemData":{"DOI":"10.1155/2016/2489479","ISSN":"2314-6133","abstract":"&lt;p&gt; Circulating microRNAs (miRNAs) and the functional implications of miRNAs contained in extracellular vesicles (EVs) have gained attention in the last decade. Little is known about the regulation of the abundance of plasma miRNAs in response to chronic ingestion of carbohydrates. Therefore, we explored the circulating levels of miR-21, miR-146a, miR-155, and miR-223 in rats consuming sucrose in drinking water. Weanling Wistar rats were 25 weeks with 30% sucrose in drinking water, and miRNAs expression was determined in total plasma and in microvesicles, by RT-qPCR with TaqMan probe based assays for miR-21, miR-146a, miR-155, and miR-223, using cel-miR-39 (as spike in control and reference). Endotoxemia was also measured. Sucrose-fed animals showed higher body weight and retroperitoneal adipose tissue as well as higher glucose and triglyceride plasma levels than controls. Plasma endotoxin levels were low and not different among groups. Plasma miR-21 and miR-223 were higher in the sucrose group ( &lt;math id=\"M1\"&gt; &lt;mi&gt;p&lt;/mi&gt; &lt;mo&gt;&amp;lt;&lt;/mo&gt; &lt;mn fontstyle=\"italic\"&gt;0.05&lt;/mn&gt; &lt;/math&gt; ), whereas miR-155 tended to be lower ( &lt;math id=\"M2\"&gt; &lt;mi&gt;p&lt;/mi&gt; &lt;mo&gt;=&lt;/mo&gt; &lt;mn fontstyle=\"italic\"&gt;0.0661&lt;/mn&gt; &lt;/math&gt; ), and miR-146a did not show significant differences. In the plasma EVs the same trend was found except for miR-146a that showed significantly higher levels ( &lt;math id=\"M3\"&gt; &lt;mi&gt;p&lt;/mi&gt; &lt;mo&gt;&amp;lt;&lt;/mo&gt; &lt;mn fontstyle=\"italic\"&gt;0.05&lt;/mn&gt; &lt;/math&gt; ). Overall, our results show that high carbohydrate ingestion modulates circulating miRNAs levels related to an inflammatory response. &lt;/p&gt;","author":[{"dropping-particle":"","family":"Brianza-Padilla","given":"Malinalli","non-dropping-particle":"","parse-names":false,"suffix":""},{"dropping-particle":"","family":"Carbó","given":"Roxana","non-dropping-particle":"","parse-names":false,"suffix":""},{"dropping-particle":"","family":"Arana","given":"Julio C.","non-dropping-particle":"","parse-names":false,"suffix":""},{"dropping-particle":"","family":"Vázquez-Palacios","given":"Gonzalo","non-dropping-particle":"","parse-names":false,"suffix":""},{"dropping-particle":"","family":"Ballinas-Verdugo","given":"Martha A.","non-dropping-particle":"","parse-names":false,"suffix":""},{"dropping-particle":"","family":"Cardoso-Saldaña","given":"Guillermo C.","non-dropping-particle":"","parse-names":false,"suffix":""},{"dropping-particle":"","family":"Palacio","given":"Adán G.","non-dropping-particle":"","parse-names":false,"suffix":""},{"dropping-particle":"","family":"Juárez-Vicuña","given":"Yaneli","non-dropping-particle":"","parse-names":false,"suffix":""},{"dropping-particle":"","family":"Sánchez","given":"Fausto","non-dropping-particle":"","parse-names":false,"suffix":""},{"dropping-particle":"","family":"Martínez-Martínez","given":"Eduardo","non-dropping-particle":"","parse-names":false,"suffix":""},{"dropping-particle":"","family":"Huang","given":"Fengyang","non-dropping-particle":"","parse-names":false,"suffix":""},{"dropping-particle":"","family":"Sánchez-Muñoz","given":"Fausto","non-dropping-particle":"","parse-names":false,"suffix":""},{"dropping-particle":"","family":"Bojalil","given":"Rafael","non-dropping-particle":"","parse-names":false,"suffix":""},{"dropping-particle":"","family":"a","given":"Yaneli","non-dropping-particle":"","parse-names":false,"suffix":""},{"dropping-particle":"","family":"S&amp;#xe1","given":"","non-dropping-particle":"","parse-names":false,"suffix":""},{"dropping-particle":"","family":"nchez","given":"Fausto","non-dropping-particle":"","parse-names":false,"suffix":""},{"dropping-particle":"","family":"Mart&amp;#xed","given":"","non-dropping-particle":"","parse-names":false,"suffix":""},{"dropping-particle":"","family":"nez-Mart&amp;#xed","given":"","non-dropping-particle":"","parse-names":false,"suffix":""},{"dropping-particle":"","family":"nez","given":"Eduardo","non-dropping-particle":"","parse-names":false,"suffix":""},{"dropping-particle":"","family":"Huang","given":"Fengyang","non-dropping-particle":"","parse-names":false,"suffix":""},{"dropping-particle":"","family":"S&amp;#xe1","given":"","non-dropping-particle":"","parse-names":false,"suffix":""},{"dropping-particle":"","family":"nchez-Mu&amp;#xf1","given":"","non-dropping-particle":"","parse-names":false,"suffix":""},{"dropping-particle":"","family":"oz","given":"Fausto","non-dropping-particle":"","parse-names":false,"suffix":""},{"dropping-particle":"","family":"Bojalil","given":"Rafael","non-dropping-particle":"","parse-names":false,"suffix":""}],"container-title":"BioMed Research International","id":"ITEM-1","issued":{"date-parts":[["2016"]]},"page":"1-7","publisher":"Hindawi Publishing Corporation","title":"Inflammation Related MicroRNAs Are Modulated in Total Plasma and in Extracellular Vesicles from Rats with Chronic Ingestion of Sucrose","type":"article-journal","volume":"2016"},"uris":["http://www.mendeley.com/documents/?uuid=ba1c6aa6-0c91-3957-9927-81ac1587f79b"]}],"mendeley":{"formattedCitation":"(Brianza-Padilla et al., 2016)","plainTextFormattedCitation":"(Brianza-Padilla et al., 2016)","previouslyFormattedCitation":"(Brianza-Padilla et al., 2016)"},"properties":{"noteIndex":0},"schema":"https://github.com/citation-style-language/schema/raw/master/csl-citation.json"}</w:instrText>
      </w:r>
      <w:r w:rsidRPr="0064302B">
        <w:rPr>
          <w:rFonts w:ascii="Times" w:hAnsi="Times"/>
          <w:sz w:val="24"/>
          <w:szCs w:val="24"/>
        </w:rPr>
        <w:fldChar w:fldCharType="separate"/>
      </w:r>
      <w:r w:rsidRPr="008B391A">
        <w:rPr>
          <w:rFonts w:ascii="Times" w:hAnsi="Times"/>
          <w:noProof/>
          <w:sz w:val="24"/>
          <w:szCs w:val="24"/>
        </w:rPr>
        <w:t>(Brianza-Padilla et al., 2016)</w:t>
      </w:r>
      <w:r w:rsidRPr="0064302B">
        <w:rPr>
          <w:rFonts w:ascii="Times" w:hAnsi="Times"/>
          <w:sz w:val="24"/>
          <w:szCs w:val="24"/>
        </w:rPr>
        <w:fldChar w:fldCharType="end"/>
      </w:r>
      <w:r w:rsidRPr="0064302B">
        <w:rPr>
          <w:rFonts w:ascii="Times" w:hAnsi="Times"/>
          <w:sz w:val="24"/>
          <w:szCs w:val="24"/>
        </w:rPr>
        <w:t xml:space="preserve">. </w:t>
      </w:r>
      <w:r>
        <w:rPr>
          <w:rFonts w:ascii="Times" w:hAnsi="Times"/>
          <w:sz w:val="24"/>
          <w:szCs w:val="24"/>
        </w:rPr>
        <w:t>mRNA</w:t>
      </w:r>
      <w:r w:rsidRPr="0064302B">
        <w:rPr>
          <w:rFonts w:ascii="Times" w:hAnsi="Times"/>
          <w:sz w:val="24"/>
          <w:szCs w:val="24"/>
        </w:rPr>
        <w:t xml:space="preserve"> relative concentrations were normalized with Ct values of </w:t>
      </w:r>
      <w:proofErr w:type="spellStart"/>
      <w:r w:rsidRPr="00917178">
        <w:rPr>
          <w:rFonts w:ascii="Times" w:hAnsi="Times"/>
          <w:i/>
          <w:iCs/>
          <w:sz w:val="24"/>
          <w:szCs w:val="24"/>
        </w:rPr>
        <w:t>Gapdh</w:t>
      </w:r>
      <w:proofErr w:type="spellEnd"/>
      <w:r w:rsidRPr="0064302B">
        <w:rPr>
          <w:rFonts w:ascii="Times" w:hAnsi="Times"/>
          <w:sz w:val="24"/>
          <w:szCs w:val="24"/>
        </w:rPr>
        <w:t>, and values were calculated using 2</w:t>
      </w:r>
      <w:r w:rsidRPr="0064302B">
        <w:rPr>
          <w:rFonts w:ascii="Times" w:hAnsi="Times"/>
          <w:sz w:val="24"/>
          <w:szCs w:val="24"/>
          <w:vertAlign w:val="superscript"/>
        </w:rPr>
        <w:t>−ΔΔCt</w:t>
      </w:r>
      <w:r w:rsidRPr="0064302B">
        <w:rPr>
          <w:rFonts w:ascii="Times" w:hAnsi="Times"/>
          <w:sz w:val="24"/>
          <w:szCs w:val="24"/>
        </w:rPr>
        <w:t xml:space="preserve"> and 2</w:t>
      </w:r>
      <w:r w:rsidRPr="0064302B">
        <w:rPr>
          <w:rFonts w:ascii="Times" w:hAnsi="Times"/>
          <w:sz w:val="24"/>
          <w:szCs w:val="24"/>
          <w:vertAlign w:val="superscript"/>
        </w:rPr>
        <w:t>−ΔCt</w:t>
      </w:r>
      <w:r w:rsidRPr="0064302B">
        <w:rPr>
          <w:rFonts w:ascii="Times" w:hAnsi="Times"/>
          <w:sz w:val="24"/>
          <w:szCs w:val="24"/>
        </w:rPr>
        <w:t xml:space="preserve"> formulas. </w:t>
      </w:r>
    </w:p>
    <w:p w14:paraId="627D3683" w14:textId="78A1221E" w:rsidR="00917178" w:rsidRDefault="00917178" w:rsidP="00917178">
      <w:pPr>
        <w:pStyle w:val="MDPI31text"/>
        <w:spacing w:line="276" w:lineRule="auto"/>
        <w:ind w:firstLine="0"/>
        <w:jc w:val="left"/>
        <w:rPr>
          <w:rFonts w:ascii="Times" w:hAnsi="Times"/>
          <w:sz w:val="24"/>
          <w:szCs w:val="24"/>
        </w:rPr>
      </w:pPr>
    </w:p>
    <w:p w14:paraId="07A3A3C0" w14:textId="77777777" w:rsidR="00917178" w:rsidRDefault="00917178" w:rsidP="00917178">
      <w:pPr>
        <w:pStyle w:val="MDPI31text"/>
        <w:spacing w:line="276" w:lineRule="auto"/>
        <w:ind w:firstLine="0"/>
        <w:jc w:val="left"/>
        <w:rPr>
          <w:rFonts w:ascii="Times" w:hAnsi="Times"/>
          <w:b/>
          <w:bCs/>
          <w:sz w:val="24"/>
          <w:szCs w:val="24"/>
        </w:rPr>
      </w:pPr>
      <w:r w:rsidRPr="00917178">
        <w:rPr>
          <w:rFonts w:ascii="Times" w:hAnsi="Times"/>
          <w:b/>
          <w:bCs/>
          <w:sz w:val="24"/>
          <w:szCs w:val="24"/>
        </w:rPr>
        <w:t>Western blot analysis</w:t>
      </w:r>
    </w:p>
    <w:p w14:paraId="3DF24E3F" w14:textId="61F59C0E" w:rsidR="00210EFD" w:rsidRDefault="00210EFD" w:rsidP="00917178">
      <w:pPr>
        <w:pStyle w:val="MDPI31text"/>
        <w:spacing w:line="276" w:lineRule="auto"/>
        <w:ind w:firstLine="0"/>
        <w:jc w:val="left"/>
        <w:rPr>
          <w:rFonts w:ascii="Times" w:hAnsi="Times"/>
          <w:sz w:val="24"/>
          <w:szCs w:val="24"/>
        </w:rPr>
      </w:pPr>
      <w:r w:rsidRPr="006F7509">
        <w:rPr>
          <w:rFonts w:ascii="Times" w:hAnsi="Times"/>
          <w:sz w:val="24"/>
          <w:szCs w:val="24"/>
        </w:rPr>
        <w:t xml:space="preserve">The </w:t>
      </w:r>
      <w:r>
        <w:rPr>
          <w:rFonts w:ascii="Times" w:hAnsi="Times"/>
          <w:sz w:val="24"/>
          <w:szCs w:val="24"/>
        </w:rPr>
        <w:t>3T3-L1 cells</w:t>
      </w:r>
      <w:r w:rsidRPr="006F7509">
        <w:rPr>
          <w:rFonts w:ascii="Times" w:hAnsi="Times"/>
          <w:sz w:val="24"/>
          <w:szCs w:val="24"/>
        </w:rPr>
        <w:t xml:space="preserve"> w</w:t>
      </w:r>
      <w:r>
        <w:rPr>
          <w:rFonts w:ascii="Times" w:hAnsi="Times"/>
          <w:sz w:val="24"/>
          <w:szCs w:val="24"/>
        </w:rPr>
        <w:t>ere</w:t>
      </w:r>
      <w:r w:rsidRPr="006F7509">
        <w:rPr>
          <w:rFonts w:ascii="Times" w:hAnsi="Times"/>
          <w:sz w:val="24"/>
          <w:szCs w:val="24"/>
        </w:rPr>
        <w:t xml:space="preserve"> homogenized in lysis buffer (10 mM HEPES, 0.2% Triton X-100, 50 mM NaCl, 0.5 mM sucrose, 0.1 mM EDTA, protease, and phosphatase inhibitors) and the homogenate centrifuged at 10,000 rpm for 10 minutes, at 4°C. The homogenates were used for the determination of total protein concentration by the Bradford method using bovine serum albumin as the standard </w:t>
      </w:r>
      <w:r>
        <w:rPr>
          <w:rFonts w:ascii="Times" w:hAnsi="Times"/>
          <w:sz w:val="24"/>
          <w:szCs w:val="24"/>
        </w:rPr>
        <w:fldChar w:fldCharType="begin" w:fldLock="1"/>
      </w:r>
      <w:r>
        <w:rPr>
          <w:rFonts w:ascii="Times" w:hAnsi="Times"/>
          <w:sz w:val="24"/>
          <w:szCs w:val="24"/>
        </w:rPr>
        <w:instrText>ADDIN CSL_CITATION {"citationItems":[{"id":"ITEM-1","itemData":{"DOI":"10.1111/j.1440-1797.2005.00448.x","ISSN":"1320-5358","PMID":"16174288","abstract":"Diabetic nephropathy is characterized by excessive accumulation of extracellular matrix (ECM) in the kidney. Reactive oxygen species (ROS) play a central role in the ECM synthesis and degradation in the glomeruli and tubulointerstitium leading to renal fibrosis. High glucose (HG) induces cellular ROS through protein kinase C (PKC)-dependent activation of NADPH oxidase and through mitochondrial metabolism. ROS thus generated activate signal transduction cascade (PKC, mitogen-activated protein kinases, and janus kinase/signal transducers and activators of transcription) and transcription factors (nuclear factor-kappaB, activated protein-1, and specificity protein-1), up-regulate transforming growth factor-beta1 (TGF-beta1), angiotensin II (Ang II), monocyte chemoattractant protein-1 (MCP-1), and plasminogen activator inhibitor-1 (PAI-1) gene and protein expression, and promote formation of advanced glycation end-products (AGE). PKC, TGF-beta1, Ang II, and AGE also induce cellular ROS and signal through ROS leading to enhanced ECM synthesis. NF-kappaB-MCP-1 pathway is activated by ROS and promotes monocyte recruitment and profibrotic process in the kidney. HG- and TGF-beta1-induced PAI-1 up-regulation is mediated by ROS and contribute to ECM accumulation via suppression of plasmin ativity. TGF-beta1-induced myofibroblast transformation of renal tubular epithelial cells (epithelial-mesenchymal transition) is also mediated by ROS and contribute to tubulointerstitial fibrosis. In summary, ROS transduce and amplify glucose signalling in renal cells under high glucose environment and play a critical role in excessive ECM deposition in the diabetic kidney. A better understanding of ROS production and removal will allow more effective therapeutic strategies in diabetic renal and other vascular complications.","author":[{"dropping-particle":"","family":"HA","given":"HUNJOO","non-dropping-particle":"","parse-names":false,"suffix":""},{"dropping-particle":"","family":"LEE","given":"HI BAHL","non-dropping-particle":"","parse-names":false,"suffix":""}],"container-title":"Nephrology","id":"ITEM-1","issue":"s2","issued":{"date-parts":[["2005","10"]]},"page":"S7-S10","title":"Reactive oxygen species amplify glucose signalling in renal cells cultured under high glucose and in diabetic kidney","type":"article-journal","volume":"10"},"uris":["http://www.mendeley.com/documents/?uuid=b0621c1c-4d2d-46a6-82aa-44ec08b30548"]}],"mendeley":{"formattedCitation":"(HA &amp; LEE, 2005)","plainTextFormattedCitation":"(HA &amp; LEE, 2005)"},"properties":{"noteIndex":0},"schema":"https://github.com/citation-style-language/schema/raw/master/csl-citation.json"}</w:instrText>
      </w:r>
      <w:r>
        <w:rPr>
          <w:rFonts w:ascii="Times" w:hAnsi="Times"/>
          <w:sz w:val="24"/>
          <w:szCs w:val="24"/>
        </w:rPr>
        <w:fldChar w:fldCharType="separate"/>
      </w:r>
      <w:r w:rsidRPr="006F7509">
        <w:rPr>
          <w:rFonts w:ascii="Times" w:hAnsi="Times"/>
          <w:noProof/>
          <w:sz w:val="24"/>
          <w:szCs w:val="24"/>
        </w:rPr>
        <w:t>(HA &amp; LEE, 2005)</w:t>
      </w:r>
      <w:r>
        <w:rPr>
          <w:rFonts w:ascii="Times" w:hAnsi="Times"/>
          <w:sz w:val="24"/>
          <w:szCs w:val="24"/>
        </w:rPr>
        <w:fldChar w:fldCharType="end"/>
      </w:r>
      <w:r w:rsidRPr="006F7509">
        <w:rPr>
          <w:rFonts w:ascii="Times" w:hAnsi="Times"/>
          <w:sz w:val="24"/>
          <w:szCs w:val="24"/>
        </w:rPr>
        <w:t xml:space="preserve">. Proteins </w:t>
      </w:r>
      <w:r>
        <w:rPr>
          <w:rFonts w:ascii="Times" w:hAnsi="Times"/>
          <w:sz w:val="24"/>
          <w:szCs w:val="24"/>
        </w:rPr>
        <w:t xml:space="preserve">50 </w:t>
      </w:r>
      <w:proofErr w:type="spellStart"/>
      <w:r w:rsidRPr="00E51026">
        <w:rPr>
          <w:rFonts w:ascii="Times" w:hAnsi="Times" w:cs="Times"/>
          <w:sz w:val="24"/>
          <w:szCs w:val="24"/>
        </w:rPr>
        <w:t>μ</w:t>
      </w:r>
      <w:r w:rsidRPr="00C01D49">
        <w:rPr>
          <w:rFonts w:ascii="Times" w:hAnsi="Times"/>
          <w:sz w:val="24"/>
          <w:szCs w:val="24"/>
        </w:rPr>
        <w:t>g</w:t>
      </w:r>
      <w:proofErr w:type="spellEnd"/>
      <w:r>
        <w:rPr>
          <w:rFonts w:ascii="Times" w:hAnsi="Times"/>
          <w:sz w:val="24"/>
          <w:szCs w:val="24"/>
        </w:rPr>
        <w:t xml:space="preserve"> </w:t>
      </w:r>
      <w:r w:rsidRPr="006F7509">
        <w:rPr>
          <w:rFonts w:ascii="Times" w:hAnsi="Times"/>
          <w:sz w:val="24"/>
          <w:szCs w:val="24"/>
        </w:rPr>
        <w:t xml:space="preserve">were resolved by SDS-PAGE and </w:t>
      </w:r>
      <w:proofErr w:type="spellStart"/>
      <w:r w:rsidRPr="006F7509">
        <w:rPr>
          <w:rFonts w:ascii="Times" w:hAnsi="Times"/>
          <w:sz w:val="24"/>
          <w:szCs w:val="24"/>
        </w:rPr>
        <w:t>electrotransferred</w:t>
      </w:r>
      <w:proofErr w:type="spellEnd"/>
      <w:r w:rsidRPr="006F7509">
        <w:rPr>
          <w:rFonts w:ascii="Times" w:hAnsi="Times"/>
          <w:sz w:val="24"/>
          <w:szCs w:val="24"/>
        </w:rPr>
        <w:t xml:space="preserve"> onto a polyvinylidene fluoride membrane (Millipore Corp., Bedford, MA). The following antibodies from Santa Cruz Biotechnology (Santa Cruz Biotechnology, Inc. CA, USA) were used: </w:t>
      </w:r>
      <w:r>
        <w:rPr>
          <w:rFonts w:ascii="Times" w:hAnsi="Times"/>
          <w:sz w:val="24"/>
          <w:szCs w:val="24"/>
        </w:rPr>
        <w:t>Glucose transporter type 4 (GLUT4) antibody</w:t>
      </w:r>
      <w:r w:rsidRPr="006F7509">
        <w:rPr>
          <w:rFonts w:ascii="Times" w:hAnsi="Times"/>
          <w:sz w:val="24"/>
          <w:szCs w:val="24"/>
        </w:rPr>
        <w:t xml:space="preserve">: </w:t>
      </w:r>
      <w:r w:rsidR="00917178" w:rsidRPr="00917178">
        <w:rPr>
          <w:rFonts w:ascii="Times" w:hAnsi="Times"/>
          <w:sz w:val="24"/>
          <w:szCs w:val="24"/>
        </w:rPr>
        <w:t>sc-7273 E-8</w:t>
      </w:r>
      <w:r w:rsidRPr="00917178">
        <w:rPr>
          <w:rFonts w:ascii="Times" w:hAnsi="Times"/>
          <w:sz w:val="24"/>
          <w:szCs w:val="24"/>
        </w:rPr>
        <w:t xml:space="preserve"> (dilution 1:</w:t>
      </w:r>
      <w:r w:rsidR="00917178">
        <w:rPr>
          <w:rFonts w:ascii="Times" w:hAnsi="Times"/>
          <w:sz w:val="24"/>
          <w:szCs w:val="24"/>
        </w:rPr>
        <w:t>1000</w:t>
      </w:r>
      <w:r w:rsidRPr="006F7509">
        <w:rPr>
          <w:rFonts w:ascii="Times" w:hAnsi="Times"/>
          <w:sz w:val="24"/>
          <w:szCs w:val="24"/>
        </w:rPr>
        <w:t>); Peroxisome Proliferator Activated Receptor Gamma</w:t>
      </w:r>
      <w:r>
        <w:rPr>
          <w:rFonts w:ascii="Times" w:hAnsi="Times"/>
          <w:sz w:val="24"/>
          <w:szCs w:val="24"/>
        </w:rPr>
        <w:t xml:space="preserve"> (</w:t>
      </w:r>
      <w:proofErr w:type="spellStart"/>
      <w:r>
        <w:rPr>
          <w:rFonts w:ascii="Times" w:hAnsi="Times"/>
          <w:sz w:val="24"/>
          <w:szCs w:val="24"/>
        </w:rPr>
        <w:t>PPAR</w:t>
      </w:r>
      <w:r>
        <w:rPr>
          <w:rFonts w:ascii="Times" w:hAnsi="Times" w:cs="Times"/>
          <w:sz w:val="24"/>
          <w:szCs w:val="24"/>
        </w:rPr>
        <w:t>γ</w:t>
      </w:r>
      <w:proofErr w:type="spellEnd"/>
      <w:r>
        <w:rPr>
          <w:rFonts w:ascii="Times" w:hAnsi="Times"/>
          <w:sz w:val="24"/>
          <w:szCs w:val="24"/>
        </w:rPr>
        <w:t>) antibody</w:t>
      </w:r>
      <w:r w:rsidRPr="006F7509">
        <w:rPr>
          <w:rFonts w:ascii="Times" w:hAnsi="Times"/>
          <w:sz w:val="24"/>
          <w:szCs w:val="24"/>
        </w:rPr>
        <w:t xml:space="preserve">: </w:t>
      </w:r>
      <w:r w:rsidRPr="00C01D49">
        <w:rPr>
          <w:rFonts w:ascii="Times" w:hAnsi="Times"/>
          <w:sz w:val="24"/>
          <w:szCs w:val="24"/>
        </w:rPr>
        <w:t>SC-7273</w:t>
      </w:r>
      <w:r w:rsidRPr="00E51026">
        <w:rPr>
          <w:rFonts w:ascii="Times" w:hAnsi="Times"/>
          <w:sz w:val="24"/>
          <w:szCs w:val="24"/>
        </w:rPr>
        <w:t xml:space="preserve"> </w:t>
      </w:r>
      <w:r w:rsidRPr="00C01D49">
        <w:rPr>
          <w:rFonts w:ascii="Times" w:hAnsi="Times"/>
          <w:sz w:val="24"/>
          <w:szCs w:val="24"/>
        </w:rPr>
        <w:t>(dilution 1:1</w:t>
      </w:r>
      <w:r w:rsidRPr="00E51026">
        <w:rPr>
          <w:rFonts w:ascii="Times" w:hAnsi="Times"/>
          <w:sz w:val="24"/>
          <w:szCs w:val="24"/>
        </w:rPr>
        <w:t>000</w:t>
      </w:r>
      <w:r w:rsidRPr="00C01D49">
        <w:rPr>
          <w:rFonts w:ascii="Times" w:hAnsi="Times"/>
          <w:sz w:val="24"/>
          <w:szCs w:val="24"/>
        </w:rPr>
        <w:t>)</w:t>
      </w:r>
      <w:r w:rsidRPr="006F7509">
        <w:rPr>
          <w:rFonts w:ascii="Times" w:hAnsi="Times"/>
          <w:sz w:val="24"/>
          <w:szCs w:val="24"/>
        </w:rPr>
        <w:t>. Detection of primary antibody was carried out with a horseradish peroxidase–conjugated secondary antibody and enhanced chemiluminescence reagents (Clarity Western ECL Substrate, Bio-Rad). Positive immunoreactive bands were quantified using a Kodak Electrophoresis Documentation and Analysis System 290 (EDAS 290). For loading controls, Coomassie Blue R-250 (Bio-Rad, Hercules, CA) staining was used. The protein expression was expressed as the ratio of the protein interest test sample to loading control in arbitrary units (</w:t>
      </w:r>
      <w:proofErr w:type="spellStart"/>
      <w:r w:rsidRPr="006F7509">
        <w:rPr>
          <w:rFonts w:ascii="Times" w:hAnsi="Times"/>
          <w:sz w:val="24"/>
          <w:szCs w:val="24"/>
        </w:rPr>
        <w:t>a.u</w:t>
      </w:r>
      <w:proofErr w:type="spellEnd"/>
      <w:r w:rsidRPr="006F7509">
        <w:rPr>
          <w:rFonts w:ascii="Times" w:hAnsi="Times"/>
          <w:sz w:val="24"/>
          <w:szCs w:val="24"/>
        </w:rPr>
        <w:t>.).</w:t>
      </w:r>
    </w:p>
    <w:p w14:paraId="5ABEA40E" w14:textId="77777777" w:rsidR="006A1CA0" w:rsidRPr="00E51026" w:rsidRDefault="006A1CA0" w:rsidP="006A1CA0">
      <w:pPr>
        <w:pStyle w:val="MDPI31text"/>
        <w:spacing w:line="276" w:lineRule="auto"/>
        <w:ind w:firstLine="0"/>
        <w:jc w:val="left"/>
        <w:rPr>
          <w:rFonts w:ascii="Times" w:hAnsi="Times"/>
          <w:b/>
          <w:bCs/>
          <w:sz w:val="24"/>
          <w:szCs w:val="24"/>
        </w:rPr>
      </w:pPr>
      <w:r w:rsidRPr="00E51026">
        <w:rPr>
          <w:rFonts w:ascii="Times" w:hAnsi="Times"/>
          <w:b/>
          <w:bCs/>
          <w:sz w:val="24"/>
          <w:szCs w:val="24"/>
        </w:rPr>
        <w:lastRenderedPageBreak/>
        <w:t>Pathway analysis</w:t>
      </w:r>
    </w:p>
    <w:p w14:paraId="5EA890F7" w14:textId="77777777" w:rsidR="006A1CA0" w:rsidRDefault="006A1CA0" w:rsidP="006A1CA0">
      <w:pPr>
        <w:pStyle w:val="MDPI31text"/>
        <w:spacing w:line="276" w:lineRule="auto"/>
        <w:jc w:val="left"/>
        <w:rPr>
          <w:rFonts w:ascii="Times" w:hAnsi="Times"/>
          <w:sz w:val="24"/>
          <w:szCs w:val="24"/>
        </w:rPr>
      </w:pPr>
      <w:r w:rsidRPr="00322756">
        <w:rPr>
          <w:rFonts w:ascii="Times" w:hAnsi="Times"/>
          <w:sz w:val="24"/>
          <w:szCs w:val="24"/>
        </w:rPr>
        <w:t xml:space="preserve">The DIANA </w:t>
      </w:r>
      <w:proofErr w:type="spellStart"/>
      <w:r w:rsidRPr="00322756">
        <w:rPr>
          <w:rFonts w:ascii="Times" w:hAnsi="Times"/>
          <w:sz w:val="24"/>
          <w:szCs w:val="24"/>
        </w:rPr>
        <w:t>miRPath</w:t>
      </w:r>
      <w:proofErr w:type="spellEnd"/>
      <w:r w:rsidRPr="00322756">
        <w:rPr>
          <w:rFonts w:ascii="Times" w:hAnsi="Times"/>
          <w:sz w:val="24"/>
          <w:szCs w:val="24"/>
        </w:rPr>
        <w:t xml:space="preserve"> web-based bioinformatics program </w:t>
      </w:r>
      <w:r>
        <w:rPr>
          <w:rFonts w:ascii="Times" w:hAnsi="Times"/>
          <w:sz w:val="24"/>
          <w:szCs w:val="24"/>
        </w:rPr>
        <w:t>(</w:t>
      </w:r>
      <w:hyperlink r:id="rId4" w:history="1">
        <w:r w:rsidRPr="0099348E">
          <w:rPr>
            <w:rStyle w:val="Hipervnculo"/>
            <w:rFonts w:ascii="Times" w:hAnsi="Times"/>
            <w:sz w:val="24"/>
            <w:szCs w:val="24"/>
          </w:rPr>
          <w:t>http://snf-515788.vm.okeanos.grnet.gr/</w:t>
        </w:r>
      </w:hyperlink>
      <w:r>
        <w:rPr>
          <w:rFonts w:ascii="Times" w:hAnsi="Times"/>
          <w:sz w:val="24"/>
          <w:szCs w:val="24"/>
        </w:rPr>
        <w:t xml:space="preserve">) </w:t>
      </w:r>
      <w:r w:rsidRPr="00322756">
        <w:rPr>
          <w:rFonts w:ascii="Times" w:hAnsi="Times"/>
          <w:sz w:val="24"/>
          <w:szCs w:val="24"/>
        </w:rPr>
        <w:t>was used to determine pathway enrichment for miRNAs found to be altered by fructose exposure.</w:t>
      </w:r>
    </w:p>
    <w:p w14:paraId="07574B4E" w14:textId="77777777" w:rsidR="00267710" w:rsidRDefault="00267710" w:rsidP="00267710">
      <w:pPr>
        <w:tabs>
          <w:tab w:val="left" w:pos="932"/>
        </w:tabs>
      </w:pPr>
    </w:p>
    <w:sectPr w:rsidR="002677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MzQxMTAytjQ3sTBX0lEKTi0uzszPAykwrQUAlzQWKiwAAAA="/>
  </w:docVars>
  <w:rsids>
    <w:rsidRoot w:val="00267710"/>
    <w:rsid w:val="00210EFD"/>
    <w:rsid w:val="00267710"/>
    <w:rsid w:val="002855F4"/>
    <w:rsid w:val="002A33D5"/>
    <w:rsid w:val="004E0CF4"/>
    <w:rsid w:val="006A1CA0"/>
    <w:rsid w:val="006D0969"/>
    <w:rsid w:val="00917178"/>
    <w:rsid w:val="00A70A71"/>
    <w:rsid w:val="00F552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5550"/>
  <w15:chartTrackingRefBased/>
  <w15:docId w15:val="{9F427F78-CB82-4205-948B-06410CF3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31text">
    <w:name w:val="MDPI_3.1_text"/>
    <w:qFormat/>
    <w:rsid w:val="00210EFD"/>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Normal1">
    <w:name w:val="Normal1"/>
    <w:rsid w:val="00917178"/>
    <w:pPr>
      <w:spacing w:after="0" w:line="276" w:lineRule="auto"/>
      <w:contextualSpacing/>
    </w:pPr>
    <w:rPr>
      <w:rFonts w:ascii="Arial" w:eastAsia="Arial" w:hAnsi="Arial" w:cs="Arial"/>
      <w:lang w:val="en-US"/>
    </w:rPr>
  </w:style>
  <w:style w:type="character" w:styleId="Hipervnculo">
    <w:name w:val="Hyperlink"/>
    <w:basedOn w:val="Fuentedeprrafopredeter"/>
    <w:uiPriority w:val="99"/>
    <w:semiHidden/>
    <w:unhideWhenUsed/>
    <w:rsid w:val="006A1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f-515788.vm.okeanos.grnet.g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2282</Words>
  <Characters>12553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 Hernández Díaz Couder</dc:creator>
  <cp:keywords/>
  <dc:description/>
  <cp:lastModifiedBy>Adrián Hernández Díaz Couder</cp:lastModifiedBy>
  <cp:revision>2</cp:revision>
  <dcterms:created xsi:type="dcterms:W3CDTF">2021-03-02T02:04:00Z</dcterms:created>
  <dcterms:modified xsi:type="dcterms:W3CDTF">2021-03-02T02:04:00Z</dcterms:modified>
</cp:coreProperties>
</file>