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cttfy5e2vcfk" w:id="0"/>
      <w:bookmarkEnd w:id="0"/>
      <w:r w:rsidDel="00000000" w:rsidR="00000000" w:rsidRPr="00000000">
        <w:rPr>
          <w:rtl w:val="0"/>
        </w:rPr>
        <w:t xml:space="preserve">ToRQuEMaDA: Tool for Retrieving Queried Eubacteria, Metadata and Dereplicating Assemblies - Supplementary material</w:t>
      </w:r>
    </w:p>
    <w:p w:rsidR="00000000" w:rsidDel="00000000" w:rsidP="00000000" w:rsidRDefault="00000000" w:rsidRPr="00000000" w14:paraId="00000002">
      <w:pP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Raphaël R. Léonard</w:t>
      </w:r>
      <w:r w:rsidDel="00000000" w:rsidR="00000000" w:rsidRPr="00000000">
        <w:rPr>
          <w:rFonts w:ascii="Times New Roman" w:cs="Times New Roman" w:eastAsia="Times New Roman" w:hAnsi="Times New Roman"/>
          <w:sz w:val="24"/>
          <w:szCs w:val="24"/>
          <w:vertAlign w:val="superscript"/>
          <w:rtl w:val="0"/>
        </w:rPr>
        <w:t xml:space="preserve">a,b</w:t>
      </w:r>
      <w:r w:rsidDel="00000000" w:rsidR="00000000" w:rsidRPr="00000000">
        <w:rPr>
          <w:rFonts w:ascii="Times New Roman" w:cs="Times New Roman" w:eastAsia="Times New Roman" w:hAnsi="Times New Roman"/>
          <w:sz w:val="24"/>
          <w:szCs w:val="24"/>
          <w:rtl w:val="0"/>
        </w:rPr>
        <w:t xml:space="preserve">, Marie Leleu</w:t>
      </w:r>
      <w:r w:rsidDel="00000000" w:rsidR="00000000" w:rsidRPr="00000000">
        <w:rPr>
          <w:rFonts w:ascii="Times New Roman" w:cs="Times New Roman" w:eastAsia="Times New Roman" w:hAnsi="Times New Roman"/>
          <w:sz w:val="24"/>
          <w:szCs w:val="24"/>
          <w:vertAlign w:val="superscript"/>
          <w:rtl w:val="0"/>
        </w:rPr>
        <w:t xml:space="preserve">b,c</w:t>
      </w:r>
      <w:r w:rsidDel="00000000" w:rsidR="00000000" w:rsidRPr="00000000">
        <w:rPr>
          <w:rFonts w:ascii="Times New Roman" w:cs="Times New Roman" w:eastAsia="Times New Roman" w:hAnsi="Times New Roman"/>
          <w:sz w:val="24"/>
          <w:szCs w:val="24"/>
          <w:rtl w:val="0"/>
        </w:rPr>
        <w:t xml:space="preserve">, Mick Van Vlierberghe</w:t>
      </w:r>
      <w:r w:rsidDel="00000000" w:rsidR="00000000" w:rsidRPr="00000000">
        <w:rPr>
          <w:rFonts w:ascii="Times New Roman" w:cs="Times New Roman" w:eastAsia="Times New Roman" w:hAnsi="Times New Roman"/>
          <w:sz w:val="24"/>
          <w:szCs w:val="24"/>
          <w:vertAlign w:val="superscript"/>
          <w:rtl w:val="0"/>
        </w:rPr>
        <w:t xml:space="preserve">b</w:t>
      </w:r>
      <w:r w:rsidDel="00000000" w:rsidR="00000000" w:rsidRPr="00000000">
        <w:rPr>
          <w:rFonts w:ascii="Times New Roman" w:cs="Times New Roman" w:eastAsia="Times New Roman" w:hAnsi="Times New Roman"/>
          <w:sz w:val="24"/>
          <w:szCs w:val="24"/>
          <w:rtl w:val="0"/>
        </w:rPr>
        <w:t xml:space="preserve">, Luc Cornet</w:t>
      </w:r>
      <w:r w:rsidDel="00000000" w:rsidR="00000000" w:rsidRPr="00000000">
        <w:rPr>
          <w:rFonts w:ascii="Times New Roman" w:cs="Times New Roman" w:eastAsia="Times New Roman" w:hAnsi="Times New Roman"/>
          <w:sz w:val="24"/>
          <w:szCs w:val="24"/>
          <w:vertAlign w:val="superscript"/>
          <w:rtl w:val="0"/>
        </w:rPr>
        <w:t xml:space="preserve">b,d</w:t>
      </w:r>
      <w:r w:rsidDel="00000000" w:rsidR="00000000" w:rsidRPr="00000000">
        <w:rPr>
          <w:rFonts w:ascii="Times New Roman" w:cs="Times New Roman" w:eastAsia="Times New Roman" w:hAnsi="Times New Roman"/>
          <w:sz w:val="24"/>
          <w:szCs w:val="24"/>
          <w:rtl w:val="0"/>
        </w:rPr>
        <w:t xml:space="preserve">, Frédéric Kerff</w:t>
      </w:r>
      <w:r w:rsidDel="00000000" w:rsidR="00000000" w:rsidRPr="00000000">
        <w:rPr>
          <w:rFonts w:ascii="Times New Roman" w:cs="Times New Roman" w:eastAsia="Times New Roman" w:hAnsi="Times New Roman"/>
          <w:sz w:val="24"/>
          <w:szCs w:val="24"/>
          <w:vertAlign w:val="superscript"/>
          <w:rtl w:val="0"/>
        </w:rPr>
        <w:t xml:space="preserve">a</w:t>
      </w:r>
      <w:r w:rsidDel="00000000" w:rsidR="00000000" w:rsidRPr="00000000">
        <w:rPr>
          <w:rFonts w:ascii="Times New Roman" w:cs="Times New Roman" w:eastAsia="Times New Roman" w:hAnsi="Times New Roman"/>
          <w:sz w:val="24"/>
          <w:szCs w:val="24"/>
          <w:rtl w:val="0"/>
        </w:rPr>
        <w:t xml:space="preserve">, Denis Baurain*</w:t>
      </w:r>
      <w:r w:rsidDel="00000000" w:rsidR="00000000" w:rsidRPr="00000000">
        <w:rPr>
          <w:rFonts w:ascii="Times New Roman" w:cs="Times New Roman" w:eastAsia="Times New Roman" w:hAnsi="Times New Roman"/>
          <w:sz w:val="24"/>
          <w:szCs w:val="24"/>
          <w:vertAlign w:val="superscript"/>
          <w:rtl w:val="0"/>
        </w:rPr>
        <w:t xml:space="preserve">b</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a</w:t>
      </w:r>
      <w:r w:rsidDel="00000000" w:rsidR="00000000" w:rsidRPr="00000000">
        <w:rPr>
          <w:rFonts w:ascii="Times New Roman" w:cs="Times New Roman" w:eastAsia="Times New Roman" w:hAnsi="Times New Roman"/>
          <w:sz w:val="24"/>
          <w:szCs w:val="24"/>
          <w:rtl w:val="0"/>
        </w:rPr>
        <w:t xml:space="preserve"> InBioS – Centre d’Ingénierie des Protéines, Université de Liège, Belgium</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b</w:t>
      </w:r>
      <w:r w:rsidDel="00000000" w:rsidR="00000000" w:rsidRPr="00000000">
        <w:rPr>
          <w:rFonts w:ascii="Times New Roman" w:cs="Times New Roman" w:eastAsia="Times New Roman" w:hAnsi="Times New Roman"/>
          <w:sz w:val="24"/>
          <w:szCs w:val="24"/>
          <w:rtl w:val="0"/>
        </w:rPr>
        <w:t xml:space="preserve"> InBioS – PhytoSYSTEMS, Eukaryotic Phylogenomics, Université de Liège, Belgium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c</w:t>
      </w:r>
      <w:r w:rsidDel="00000000" w:rsidR="00000000" w:rsidRPr="00000000">
        <w:rPr>
          <w:rFonts w:ascii="Times New Roman" w:cs="Times New Roman" w:eastAsia="Times New Roman" w:hAnsi="Times New Roman"/>
          <w:sz w:val="24"/>
          <w:szCs w:val="24"/>
          <w:rtl w:val="0"/>
        </w:rPr>
        <w:t xml:space="preserve"> Univ. Lille, CNRS, UMR 8576 – UGSF – Unité de Glycobiologie Structurale et Fonctionnelle, F-59000 Lille, France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d</w:t>
      </w:r>
      <w:r w:rsidDel="00000000" w:rsidR="00000000" w:rsidRPr="00000000">
        <w:rPr>
          <w:rFonts w:ascii="Times New Roman" w:cs="Times New Roman" w:eastAsia="Times New Roman" w:hAnsi="Times New Roman"/>
          <w:sz w:val="24"/>
          <w:szCs w:val="24"/>
          <w:rtl w:val="0"/>
        </w:rPr>
        <w:t xml:space="preserve"> Mycology and Aerobiology - Sciensano, Service Public Fédéral - Bruxelles, Belgium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Times New Roman" w:cs="Times New Roman" w:eastAsia="Times New Roman" w:hAnsi="Times New Roman"/>
          <w:sz w:val="24"/>
          <w:szCs w:val="24"/>
          <w:rtl w:val="0"/>
        </w:rPr>
        <w:t xml:space="preserve">* Corresponding author</w:t>
      </w:r>
      <w:r w:rsidDel="00000000" w:rsidR="00000000" w:rsidRPr="00000000">
        <w:rPr>
          <w:rtl w:val="0"/>
        </w:rPr>
      </w:r>
    </w:p>
    <w:p w:rsidR="00000000" w:rsidDel="00000000" w:rsidP="00000000" w:rsidRDefault="00000000" w:rsidRPr="00000000" w14:paraId="0000000A">
      <w:pPr>
        <w:pStyle w:val="Heading3"/>
        <w:rPr/>
      </w:pPr>
      <w:bookmarkStart w:colFirst="0" w:colLast="0" w:name="_syt11k8yyoou" w:id="1"/>
      <w:bookmarkEnd w:id="1"/>
      <w:r w:rsidDel="00000000" w:rsidR="00000000" w:rsidRPr="00000000">
        <w:rPr>
          <w:rtl w:val="0"/>
        </w:rPr>
        <w:t xml:space="preserve">Comparison with Assembly-Dereplicator</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is a program that is more recent than dRep but, as of August 2020, not yet published; its last update dates from November 2019. Its main advantage is ease of use, since it is a simple (no-installation) script that only needs Mash as a prerequisite. A-D takes as input the path to a folder containing the genomes to be dereplicated and rearranges them randomly and separated into smaller packs (500 genomes per pack by default). The next step is the clustering of each pack serially using Mash. A-D stops as soon as it cannot dereplicate at least one genome from the current pack. Since it was compatible with our grid computer, we tried to test A-D (v0.1.0) with all prokaryotic RefSeq genomes, so as to mimic how TQMD is supposed to work in addition to the two datasets used with dRep.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of the two smaller datasets, A-D required only one CPU and took ten minutes when not partially crashing. Each dataset had to be relaunched several times due to A-D not finding the path to Mash for each pack. In the following, the TQMD results are the same as those reported for the dRep comparison. For Bacteroidetes, A-D selected 798 representatives (519 species), of which 704 were in common with TQMD, which represents 498 species in common. For the Streptomycetales, A-D selected 435 representatives (190 species), of which 408 were in common with TQMD, which represents 180 species (details given in Table </w:t>
      </w:r>
      <w:r w:rsidDel="00000000" w:rsidR="00000000" w:rsidRPr="00000000">
        <w:rPr>
          <w:rFonts w:ascii="Times New Roman" w:cs="Times New Roman" w:eastAsia="Times New Roman" w:hAnsi="Times New Roman"/>
          <w:sz w:val="24"/>
          <w:szCs w:val="24"/>
          <w:rtl w:val="0"/>
        </w:rPr>
        <w:t xml:space="preserve">S2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March 2019, all RefSeq prokaryotic genomes amounted to 112,254 genomes. We launched several A-D runs which all stopped after one hour and failed to dereplicate more than 5,000 genomes despite an increasingly lenient threshold (details given in Table S3). Investigation of the results revealed that this time the problem was not due to A-D not finding Mash but caused by the </w:t>
      </w:r>
      <w:r w:rsidDel="00000000" w:rsidR="00000000" w:rsidRPr="00000000">
        <w:rPr>
          <w:rFonts w:ascii="Times New Roman" w:cs="Times New Roman" w:eastAsia="Times New Roman" w:hAnsi="Times New Roman"/>
          <w:sz w:val="24"/>
          <w:szCs w:val="24"/>
          <w:rtl w:val="0"/>
        </w:rPr>
        <w:t xml:space="preserve">heuristics implemented in A-D</w:t>
      </w:r>
      <w:r w:rsidDel="00000000" w:rsidR="00000000" w:rsidRPr="00000000">
        <w:rPr>
          <w:rFonts w:ascii="Times New Roman" w:cs="Times New Roman" w:eastAsia="Times New Roman" w:hAnsi="Times New Roman"/>
          <w:sz w:val="24"/>
          <w:szCs w:val="24"/>
          <w:rtl w:val="0"/>
        </w:rPr>
        <w:t xml:space="preserve">. </w:t>
      </w:r>
    </w:p>
    <w:tbl>
      <w:tblPr>
        <w:tblStyle w:val="Table1"/>
        <w:tblW w:w="918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70"/>
        <w:gridCol w:w="705"/>
        <w:gridCol w:w="705"/>
        <w:gridCol w:w="760"/>
        <w:gridCol w:w="760"/>
        <w:gridCol w:w="760"/>
        <w:gridCol w:w="795"/>
        <w:gridCol w:w="795"/>
        <w:gridCol w:w="795"/>
        <w:gridCol w:w="817.5"/>
        <w:gridCol w:w="817.5"/>
        <w:tblGridChange w:id="0">
          <w:tblGrid>
            <w:gridCol w:w="1470"/>
            <w:gridCol w:w="705"/>
            <w:gridCol w:w="705"/>
            <w:gridCol w:w="760"/>
            <w:gridCol w:w="760"/>
            <w:gridCol w:w="760"/>
            <w:gridCol w:w="795"/>
            <w:gridCol w:w="795"/>
            <w:gridCol w:w="795"/>
            <w:gridCol w:w="817.5"/>
            <w:gridCol w:w="817.5"/>
          </w:tblGrid>
        </w:tblGridChange>
      </w:tblGrid>
      <w:tr>
        <w:trPr>
          <w:trHeight w:val="260" w:hRule="atLeast"/>
        </w:trPr>
        <w:tc>
          <w:tcPr>
            <w:vMerge w:val="restart"/>
            <w:shd w:fill="cccccc" w:val="clear"/>
            <w:tcMar>
              <w:top w:w="40.0" w:type="dxa"/>
              <w:left w:w="40.0" w:type="dxa"/>
              <w:bottom w:w="40.0" w:type="dxa"/>
              <w:right w:w="40.0" w:type="dxa"/>
            </w:tcMar>
            <w:vAlign w:val="center"/>
          </w:tcPr>
          <w:p w:rsidR="00000000" w:rsidDel="00000000" w:rsidP="00000000" w:rsidRDefault="00000000" w:rsidRPr="00000000" w14:paraId="0000001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dataset</w:t>
            </w:r>
          </w:p>
        </w:tc>
        <w:tc>
          <w:tcPr>
            <w:gridSpan w:val="2"/>
            <w:shd w:fill="cccccc" w:val="clear"/>
            <w:tcMar>
              <w:top w:w="40.0" w:type="dxa"/>
              <w:left w:w="40.0" w:type="dxa"/>
              <w:bottom w:w="40.0" w:type="dxa"/>
              <w:right w:w="40.0" w:type="dxa"/>
            </w:tcMar>
            <w:vAlign w:val="center"/>
          </w:tcPr>
          <w:p w:rsidR="00000000" w:rsidDel="00000000" w:rsidP="00000000" w:rsidRDefault="00000000" w:rsidRPr="00000000" w14:paraId="0000001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starting</w:t>
            </w:r>
          </w:p>
        </w:tc>
        <w:tc>
          <w:tcPr>
            <w:gridSpan w:val="3"/>
            <w:shd w:fill="cccccc" w:val="clear"/>
            <w:tcMar>
              <w:top w:w="40.0" w:type="dxa"/>
              <w:left w:w="40.0" w:type="dxa"/>
              <w:bottom w:w="40.0" w:type="dxa"/>
              <w:right w:w="40.0" w:type="dxa"/>
            </w:tcMar>
            <w:vAlign w:val="center"/>
          </w:tcPr>
          <w:p w:rsidR="00000000" w:rsidDel="00000000" w:rsidP="00000000" w:rsidRDefault="00000000" w:rsidRPr="00000000" w14:paraId="0000001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TQMD - JELLYFISH k12</w:t>
            </w:r>
          </w:p>
        </w:tc>
        <w:tc>
          <w:tcPr>
            <w:gridSpan w:val="3"/>
            <w:shd w:fill="cccccc" w:val="clear"/>
            <w:tcMar>
              <w:top w:w="40.0" w:type="dxa"/>
              <w:left w:w="40.0" w:type="dxa"/>
              <w:bottom w:w="40.0" w:type="dxa"/>
              <w:right w:w="40.0" w:type="dxa"/>
            </w:tcMar>
            <w:vAlign w:val="center"/>
          </w:tcPr>
          <w:p w:rsidR="00000000" w:rsidDel="00000000" w:rsidP="00000000" w:rsidRDefault="00000000" w:rsidRPr="00000000" w14:paraId="0000001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Assembly-Dereplicator</w:t>
            </w:r>
          </w:p>
        </w:tc>
        <w:tc>
          <w:tcPr>
            <w:gridSpan w:val="2"/>
            <w:shd w:fill="cccccc" w:val="clear"/>
            <w:tcMar>
              <w:top w:w="40.0" w:type="dxa"/>
              <w:left w:w="40.0" w:type="dxa"/>
              <w:bottom w:w="40.0" w:type="dxa"/>
              <w:right w:w="40.0" w:type="dxa"/>
            </w:tcMar>
            <w:vAlign w:val="center"/>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intersection</w:t>
            </w:r>
          </w:p>
        </w:tc>
      </w:tr>
      <w:tr>
        <w:trPr>
          <w:trHeight w:val="260" w:hRule="atLeast"/>
        </w:trPr>
        <w:tc>
          <w:tcPr>
            <w:vMerge w:val="continue"/>
            <w:shd w:fill="cccccc" w:val="clear"/>
            <w:tcMar>
              <w:top w:w="40.0" w:type="dxa"/>
              <w:left w:w="40.0" w:type="dxa"/>
              <w:bottom w:w="40.0" w:type="dxa"/>
              <w:right w:w="40.0" w:type="dxa"/>
            </w:tcMar>
            <w:vAlign w:val="bottom"/>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cccccc" w:val="clear"/>
            <w:tcMar>
              <w:top w:w="40.0" w:type="dxa"/>
              <w:left w:w="40.0" w:type="dxa"/>
              <w:bottom w:w="40.0" w:type="dxa"/>
              <w:right w:w="40.0" w:type="dxa"/>
            </w:tcMar>
            <w:vAlign w:val="bottom"/>
          </w:tcPr>
          <w:p w:rsidR="00000000" w:rsidDel="00000000" w:rsidP="00000000" w:rsidRDefault="00000000" w:rsidRPr="00000000" w14:paraId="0000001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gen.</w:t>
            </w:r>
          </w:p>
        </w:tc>
        <w:tc>
          <w:tcPr>
            <w:shd w:fill="cccccc" w:val="clear"/>
            <w:tcMar>
              <w:top w:w="40.0" w:type="dxa"/>
              <w:left w:w="40.0" w:type="dxa"/>
              <w:bottom w:w="40.0" w:type="dxa"/>
              <w:right w:w="40.0" w:type="dxa"/>
            </w:tcMar>
            <w:vAlign w:val="bottom"/>
          </w:tcPr>
          <w:p w:rsidR="00000000" w:rsidDel="00000000" w:rsidP="00000000" w:rsidRDefault="00000000" w:rsidRPr="00000000" w14:paraId="0000001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spec.</w:t>
            </w:r>
          </w:p>
        </w:tc>
        <w:tc>
          <w:tcPr>
            <w:shd w:fill="cccccc" w:val="clear"/>
            <w:tcMar>
              <w:top w:w="40.0" w:type="dxa"/>
              <w:left w:w="40.0" w:type="dxa"/>
              <w:bottom w:w="40.0" w:type="dxa"/>
              <w:right w:w="40.0" w:type="dxa"/>
            </w:tcMar>
            <w:vAlign w:val="bottom"/>
          </w:tcPr>
          <w:p w:rsidR="00000000" w:rsidDel="00000000" w:rsidP="00000000" w:rsidRDefault="00000000" w:rsidRPr="00000000" w14:paraId="0000001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repr.</w:t>
            </w:r>
          </w:p>
        </w:tc>
        <w:tc>
          <w:tcPr>
            <w:shd w:fill="cccccc" w:val="clear"/>
            <w:tcMar>
              <w:top w:w="40.0" w:type="dxa"/>
              <w:left w:w="40.0" w:type="dxa"/>
              <w:bottom w:w="40.0" w:type="dxa"/>
              <w:right w:w="40.0" w:type="dxa"/>
            </w:tcMar>
            <w:vAlign w:val="bottom"/>
          </w:tcPr>
          <w:p w:rsidR="00000000" w:rsidDel="00000000" w:rsidP="00000000" w:rsidRDefault="00000000" w:rsidRPr="00000000" w14:paraId="0000002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spec.</w:t>
            </w:r>
          </w:p>
        </w:tc>
        <w:tc>
          <w:tcPr>
            <w:shd w:fill="cccccc" w:val="clear"/>
            <w:tcMar>
              <w:top w:w="40.0" w:type="dxa"/>
              <w:left w:w="40.0" w:type="dxa"/>
              <w:bottom w:w="40.0" w:type="dxa"/>
              <w:right w:w="40.0" w:type="dxa"/>
            </w:tcMar>
            <w:vAlign w:val="bottom"/>
          </w:tcPr>
          <w:p w:rsidR="00000000" w:rsidDel="00000000" w:rsidP="00000000" w:rsidRDefault="00000000" w:rsidRPr="00000000" w14:paraId="0000002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h.CPU</w:t>
            </w:r>
          </w:p>
        </w:tc>
        <w:tc>
          <w:tcPr>
            <w:shd w:fill="cccccc" w:val="clear"/>
            <w:tcMar>
              <w:top w:w="40.0" w:type="dxa"/>
              <w:left w:w="40.0" w:type="dxa"/>
              <w:bottom w:w="40.0" w:type="dxa"/>
              <w:right w:w="40.0" w:type="dxa"/>
            </w:tcMar>
            <w:vAlign w:val="bottom"/>
          </w:tcPr>
          <w:p w:rsidR="00000000" w:rsidDel="00000000" w:rsidP="00000000" w:rsidRDefault="00000000" w:rsidRPr="00000000" w14:paraId="0000002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repr.</w:t>
            </w:r>
          </w:p>
        </w:tc>
        <w:tc>
          <w:tcPr>
            <w:shd w:fill="cccccc" w:val="clear"/>
            <w:tcMar>
              <w:top w:w="40.0" w:type="dxa"/>
              <w:left w:w="40.0" w:type="dxa"/>
              <w:bottom w:w="40.0" w:type="dxa"/>
              <w:right w:w="40.0" w:type="dxa"/>
            </w:tcMar>
            <w:vAlign w:val="bottom"/>
          </w:tcPr>
          <w:p w:rsidR="00000000" w:rsidDel="00000000" w:rsidP="00000000" w:rsidRDefault="00000000" w:rsidRPr="00000000" w14:paraId="0000002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spec.</w:t>
            </w:r>
          </w:p>
        </w:tc>
        <w:tc>
          <w:tcPr>
            <w:shd w:fill="cccccc" w:val="clear"/>
            <w:tcMar>
              <w:top w:w="40.0" w:type="dxa"/>
              <w:left w:w="40.0" w:type="dxa"/>
              <w:bottom w:w="40.0" w:type="dxa"/>
              <w:right w:w="40.0" w:type="dxa"/>
            </w:tcMar>
            <w:vAlign w:val="bottom"/>
          </w:tcPr>
          <w:p w:rsidR="00000000" w:rsidDel="00000000" w:rsidP="00000000" w:rsidRDefault="00000000" w:rsidRPr="00000000" w14:paraId="0000002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h.CPU</w:t>
            </w:r>
          </w:p>
        </w:tc>
        <w:tc>
          <w:tcPr>
            <w:shd w:fill="cccccc" w:val="clear"/>
            <w:tcMar>
              <w:top w:w="40.0" w:type="dxa"/>
              <w:left w:w="40.0" w:type="dxa"/>
              <w:bottom w:w="40.0" w:type="dxa"/>
              <w:right w:w="40.0" w:type="dxa"/>
            </w:tcMar>
            <w:vAlign w:val="bottom"/>
          </w:tcPr>
          <w:p w:rsidR="00000000" w:rsidDel="00000000" w:rsidP="00000000" w:rsidRDefault="00000000" w:rsidRPr="00000000" w14:paraId="0000002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repr.</w:t>
            </w:r>
          </w:p>
        </w:tc>
        <w:tc>
          <w:tcPr>
            <w:shd w:fill="cccccc" w:val="clear"/>
            <w:tcMar>
              <w:top w:w="40.0" w:type="dxa"/>
              <w:left w:w="40.0" w:type="dxa"/>
              <w:bottom w:w="40.0" w:type="dxa"/>
              <w:right w:w="40.0" w:type="dxa"/>
            </w:tcMar>
            <w:vAlign w:val="bottom"/>
          </w:tcPr>
          <w:p w:rsidR="00000000" w:rsidDel="00000000" w:rsidP="00000000" w:rsidRDefault="00000000" w:rsidRPr="00000000" w14:paraId="0000002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spec.</w:t>
            </w:r>
          </w:p>
        </w:tc>
      </w:tr>
      <w:tr>
        <w:tc>
          <w:tcPr>
            <w:shd w:fill="cccccc" w:val="clear"/>
            <w:tcMar>
              <w:top w:w="40.0" w:type="dxa"/>
              <w:left w:w="40.0" w:type="dxa"/>
              <w:bottom w:w="40.0" w:type="dxa"/>
              <w:right w:w="40.0" w:type="dxa"/>
            </w:tcMar>
            <w:vAlign w:val="bottom"/>
          </w:tcPr>
          <w:p w:rsidR="00000000" w:rsidDel="00000000" w:rsidP="00000000" w:rsidRDefault="00000000" w:rsidRPr="00000000" w14:paraId="0000002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Bacteroidetes</w:t>
            </w:r>
          </w:p>
        </w:tc>
        <w:tc>
          <w:tcPr>
            <w:tcMar>
              <w:top w:w="40.0" w:type="dxa"/>
              <w:left w:w="40.0" w:type="dxa"/>
              <w:bottom w:w="40.0" w:type="dxa"/>
              <w:right w:w="40.0" w:type="dxa"/>
            </w:tcMar>
            <w:vAlign w:val="bottom"/>
          </w:tcPr>
          <w:p w:rsidR="00000000" w:rsidDel="00000000" w:rsidP="00000000" w:rsidRDefault="00000000" w:rsidRPr="00000000" w14:paraId="0000002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1127</w:t>
            </w:r>
          </w:p>
        </w:tc>
        <w:tc>
          <w:tcPr>
            <w:tcMar>
              <w:top w:w="40.0" w:type="dxa"/>
              <w:left w:w="40.0" w:type="dxa"/>
              <w:bottom w:w="40.0" w:type="dxa"/>
              <w:right w:w="40.0" w:type="dxa"/>
            </w:tcMar>
            <w:vAlign w:val="bottom"/>
          </w:tcPr>
          <w:p w:rsidR="00000000" w:rsidDel="00000000" w:rsidP="00000000" w:rsidRDefault="00000000" w:rsidRPr="00000000" w14:paraId="0000002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528</w:t>
            </w:r>
          </w:p>
        </w:tc>
        <w:tc>
          <w:tcPr>
            <w:tcMar>
              <w:top w:w="40.0" w:type="dxa"/>
              <w:left w:w="40.0" w:type="dxa"/>
              <w:bottom w:w="40.0" w:type="dxa"/>
              <w:right w:w="40.0" w:type="dxa"/>
            </w:tcMar>
            <w:vAlign w:val="bottom"/>
          </w:tcPr>
          <w:p w:rsidR="00000000" w:rsidDel="00000000" w:rsidP="00000000" w:rsidRDefault="00000000" w:rsidRPr="00000000" w14:paraId="0000002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789</w:t>
            </w:r>
          </w:p>
        </w:tc>
        <w:tc>
          <w:tcPr>
            <w:tcMar>
              <w:top w:w="40.0" w:type="dxa"/>
              <w:left w:w="40.0" w:type="dxa"/>
              <w:bottom w:w="40.0" w:type="dxa"/>
              <w:right w:w="40.0" w:type="dxa"/>
            </w:tcMar>
            <w:vAlign w:val="bottom"/>
          </w:tcPr>
          <w:p w:rsidR="00000000" w:rsidDel="00000000" w:rsidP="00000000" w:rsidRDefault="00000000" w:rsidRPr="00000000" w14:paraId="0000002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517</w:t>
            </w:r>
          </w:p>
        </w:tc>
        <w:tc>
          <w:tcPr>
            <w:tcMar>
              <w:top w:w="40.0" w:type="dxa"/>
              <w:left w:w="40.0" w:type="dxa"/>
              <w:bottom w:w="40.0" w:type="dxa"/>
              <w:right w:w="40.0" w:type="dxa"/>
            </w:tcMar>
            <w:vAlign w:val="bottom"/>
          </w:tcPr>
          <w:p w:rsidR="00000000" w:rsidDel="00000000" w:rsidP="00000000" w:rsidRDefault="00000000" w:rsidRPr="00000000" w14:paraId="0000002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w:t>
            </w:r>
          </w:p>
        </w:tc>
        <w:tc>
          <w:tcPr>
            <w:tcMar>
              <w:top w:w="40.0" w:type="dxa"/>
              <w:left w:w="40.0" w:type="dxa"/>
              <w:bottom w:w="40.0" w:type="dxa"/>
              <w:right w:w="40.0" w:type="dxa"/>
            </w:tcMar>
            <w:vAlign w:val="bottom"/>
          </w:tcPr>
          <w:p w:rsidR="00000000" w:rsidDel="00000000" w:rsidP="00000000" w:rsidRDefault="00000000" w:rsidRPr="00000000" w14:paraId="0000002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798</w:t>
            </w:r>
          </w:p>
        </w:tc>
        <w:tc>
          <w:tcPr>
            <w:tcMar>
              <w:top w:w="40.0" w:type="dxa"/>
              <w:left w:w="40.0" w:type="dxa"/>
              <w:bottom w:w="40.0" w:type="dxa"/>
              <w:right w:w="40.0" w:type="dxa"/>
            </w:tcMar>
            <w:vAlign w:val="bottom"/>
          </w:tcPr>
          <w:p w:rsidR="00000000" w:rsidDel="00000000" w:rsidP="00000000" w:rsidRDefault="00000000" w:rsidRPr="00000000" w14:paraId="0000002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519</w:t>
            </w:r>
          </w:p>
        </w:tc>
        <w:tc>
          <w:tcPr>
            <w:tcMar>
              <w:top w:w="40.0" w:type="dxa"/>
              <w:left w:w="40.0" w:type="dxa"/>
              <w:bottom w:w="40.0" w:type="dxa"/>
              <w:right w:w="40.0" w:type="dxa"/>
            </w:tcMar>
            <w:vAlign w:val="bottom"/>
          </w:tcPr>
          <w:p w:rsidR="00000000" w:rsidDel="00000000" w:rsidP="00000000" w:rsidRDefault="00000000" w:rsidRPr="00000000" w14:paraId="0000002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w:t>
            </w:r>
          </w:p>
        </w:tc>
        <w:tc>
          <w:tcPr>
            <w:tcMar>
              <w:top w:w="40.0" w:type="dxa"/>
              <w:left w:w="40.0" w:type="dxa"/>
              <w:bottom w:w="40.0" w:type="dxa"/>
              <w:right w:w="40.0" w:type="dxa"/>
            </w:tcMar>
            <w:vAlign w:val="bottom"/>
          </w:tcPr>
          <w:p w:rsidR="00000000" w:rsidDel="00000000" w:rsidP="00000000" w:rsidRDefault="00000000" w:rsidRPr="00000000" w14:paraId="0000003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704</w:t>
            </w:r>
          </w:p>
        </w:tc>
        <w:tc>
          <w:tcPr>
            <w:tcMar>
              <w:top w:w="40.0" w:type="dxa"/>
              <w:left w:w="40.0" w:type="dxa"/>
              <w:bottom w:w="40.0" w:type="dxa"/>
              <w:right w:w="40.0" w:type="dxa"/>
            </w:tcMar>
            <w:vAlign w:val="bottom"/>
          </w:tcPr>
          <w:p w:rsidR="00000000" w:rsidDel="00000000" w:rsidP="00000000" w:rsidRDefault="00000000" w:rsidRPr="00000000" w14:paraId="0000003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498</w:t>
            </w:r>
          </w:p>
        </w:tc>
      </w:tr>
      <w:tr>
        <w:tc>
          <w:tcPr>
            <w:shd w:fill="cccccc" w:val="clear"/>
            <w:tcMar>
              <w:top w:w="40.0" w:type="dxa"/>
              <w:left w:w="40.0" w:type="dxa"/>
              <w:bottom w:w="40.0" w:type="dxa"/>
              <w:right w:w="40.0" w:type="dxa"/>
            </w:tcMar>
            <w:vAlign w:val="bottom"/>
          </w:tcPr>
          <w:p w:rsidR="00000000" w:rsidDel="00000000" w:rsidP="00000000" w:rsidRDefault="00000000" w:rsidRPr="00000000" w14:paraId="0000003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Streptomycetales</w:t>
            </w:r>
          </w:p>
        </w:tc>
        <w:tc>
          <w:tcPr>
            <w:tcMar>
              <w:top w:w="40.0" w:type="dxa"/>
              <w:left w:w="40.0" w:type="dxa"/>
              <w:bottom w:w="40.0" w:type="dxa"/>
              <w:right w:w="40.0" w:type="dxa"/>
            </w:tcMar>
            <w:vAlign w:val="bottom"/>
          </w:tcPr>
          <w:p w:rsidR="00000000" w:rsidDel="00000000" w:rsidP="00000000" w:rsidRDefault="00000000" w:rsidRPr="00000000" w14:paraId="0000003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648</w:t>
            </w:r>
          </w:p>
        </w:tc>
        <w:tc>
          <w:tcPr>
            <w:tcMar>
              <w:top w:w="40.0" w:type="dxa"/>
              <w:left w:w="40.0" w:type="dxa"/>
              <w:bottom w:w="40.0" w:type="dxa"/>
              <w:right w:w="40.0" w:type="dxa"/>
            </w:tcMar>
            <w:vAlign w:val="bottom"/>
          </w:tcPr>
          <w:p w:rsidR="00000000" w:rsidDel="00000000" w:rsidP="00000000" w:rsidRDefault="00000000" w:rsidRPr="00000000" w14:paraId="0000003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220</w:t>
            </w:r>
          </w:p>
        </w:tc>
        <w:tc>
          <w:tcPr>
            <w:tcMar>
              <w:top w:w="40.0" w:type="dxa"/>
              <w:left w:w="40.0" w:type="dxa"/>
              <w:bottom w:w="40.0" w:type="dxa"/>
              <w:right w:w="40.0" w:type="dxa"/>
            </w:tcMar>
            <w:vAlign w:val="bottom"/>
          </w:tcPr>
          <w:p w:rsidR="00000000" w:rsidDel="00000000" w:rsidP="00000000" w:rsidRDefault="00000000" w:rsidRPr="00000000" w14:paraId="0000003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486</w:t>
            </w:r>
          </w:p>
        </w:tc>
        <w:tc>
          <w:tcPr>
            <w:tcMar>
              <w:top w:w="40.0" w:type="dxa"/>
              <w:left w:w="40.0" w:type="dxa"/>
              <w:bottom w:w="40.0" w:type="dxa"/>
              <w:right w:w="40.0" w:type="dxa"/>
            </w:tcMar>
            <w:vAlign w:val="bottom"/>
          </w:tcPr>
          <w:p w:rsidR="00000000" w:rsidDel="00000000" w:rsidP="00000000" w:rsidRDefault="00000000" w:rsidRPr="00000000" w14:paraId="0000003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207</w:t>
            </w:r>
          </w:p>
        </w:tc>
        <w:tc>
          <w:tcPr>
            <w:tcMar>
              <w:top w:w="40.0" w:type="dxa"/>
              <w:left w:w="40.0" w:type="dxa"/>
              <w:bottom w:w="40.0" w:type="dxa"/>
              <w:right w:w="40.0" w:type="dxa"/>
            </w:tcMar>
            <w:vAlign w:val="bottom"/>
          </w:tcPr>
          <w:p w:rsidR="00000000" w:rsidDel="00000000" w:rsidP="00000000" w:rsidRDefault="00000000" w:rsidRPr="00000000" w14:paraId="0000003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Mar>
              <w:top w:w="40.0" w:type="dxa"/>
              <w:left w:w="40.0" w:type="dxa"/>
              <w:bottom w:w="40.0" w:type="dxa"/>
              <w:right w:w="40.0" w:type="dxa"/>
            </w:tcMar>
            <w:vAlign w:val="bottom"/>
          </w:tcPr>
          <w:p w:rsidR="00000000" w:rsidDel="00000000" w:rsidP="00000000" w:rsidRDefault="00000000" w:rsidRPr="00000000" w14:paraId="0000003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435</w:t>
            </w:r>
          </w:p>
        </w:tc>
        <w:tc>
          <w:tcPr>
            <w:tcMar>
              <w:top w:w="40.0" w:type="dxa"/>
              <w:left w:w="40.0" w:type="dxa"/>
              <w:bottom w:w="40.0" w:type="dxa"/>
              <w:right w:w="40.0" w:type="dxa"/>
            </w:tcMar>
            <w:vAlign w:val="bottom"/>
          </w:tcPr>
          <w:p w:rsidR="00000000" w:rsidDel="00000000" w:rsidP="00000000" w:rsidRDefault="00000000" w:rsidRPr="00000000" w14:paraId="0000003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190</w:t>
            </w:r>
          </w:p>
        </w:tc>
        <w:tc>
          <w:tcPr>
            <w:tcMar>
              <w:top w:w="40.0" w:type="dxa"/>
              <w:left w:w="40.0" w:type="dxa"/>
              <w:bottom w:w="40.0" w:type="dxa"/>
              <w:right w:w="40.0" w:type="dxa"/>
            </w:tcMar>
            <w:vAlign w:val="bottom"/>
          </w:tcPr>
          <w:p w:rsidR="00000000" w:rsidDel="00000000" w:rsidP="00000000" w:rsidRDefault="00000000" w:rsidRPr="00000000" w14:paraId="0000003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w:t>
            </w:r>
          </w:p>
        </w:tc>
        <w:tc>
          <w:tcPr>
            <w:tcMar>
              <w:top w:w="40.0" w:type="dxa"/>
              <w:left w:w="40.0" w:type="dxa"/>
              <w:bottom w:w="40.0" w:type="dxa"/>
              <w:right w:w="40.0" w:type="dxa"/>
            </w:tcMar>
            <w:vAlign w:val="bottom"/>
          </w:tcPr>
          <w:p w:rsidR="00000000" w:rsidDel="00000000" w:rsidP="00000000" w:rsidRDefault="00000000" w:rsidRPr="00000000" w14:paraId="0000003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408</w:t>
            </w:r>
          </w:p>
        </w:tc>
        <w:tc>
          <w:tcPr>
            <w:tcMar>
              <w:top w:w="40.0" w:type="dxa"/>
              <w:left w:w="40.0" w:type="dxa"/>
              <w:bottom w:w="40.0" w:type="dxa"/>
              <w:right w:w="40.0" w:type="dxa"/>
            </w:tcMar>
            <w:vAlign w:val="bottom"/>
          </w:tcPr>
          <w:p w:rsidR="00000000" w:rsidDel="00000000" w:rsidP="00000000" w:rsidRDefault="00000000" w:rsidRPr="00000000" w14:paraId="0000003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w:t>
            </w:r>
          </w:p>
        </w:tc>
      </w:tr>
    </w:tbl>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Supplementary Table 2. Performance comparison between TQMD and Assembly-Dereplicator on two smaller datasets.</w:t>
      </w:r>
      <w:r w:rsidDel="00000000" w:rsidR="00000000" w:rsidRPr="00000000">
        <w:rPr>
          <w:rFonts w:ascii="Times New Roman" w:cs="Times New Roman" w:eastAsia="Times New Roman" w:hAnsi="Times New Roman"/>
          <w:sz w:val="24"/>
          <w:szCs w:val="24"/>
          <w:rtl w:val="0"/>
        </w:rPr>
        <w:t xml:space="preserve">  The column titles and the TQMD results are taken from Table 7.</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tbl>
      <w:tblPr>
        <w:tblStyle w:val="Table2"/>
        <w:tblW w:w="5160.000000000001"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20.0000000000002"/>
        <w:gridCol w:w="1720.0000000000002"/>
        <w:gridCol w:w="1720.0000000000002"/>
        <w:tblGridChange w:id="0">
          <w:tblGrid>
            <w:gridCol w:w="1720.0000000000002"/>
            <w:gridCol w:w="1720.0000000000002"/>
            <w:gridCol w:w="1720.0000000000002"/>
          </w:tblGrid>
        </w:tblGridChange>
      </w:tblGrid>
      <w:tr>
        <w:tc>
          <w:tcPr>
            <w:shd w:fill="cccccc" w:val="clear"/>
            <w:tcMar>
              <w:top w:w="40.0" w:type="dxa"/>
              <w:left w:w="40.0" w:type="dxa"/>
              <w:bottom w:w="40.0" w:type="dxa"/>
              <w:right w:w="40.0" w:type="dxa"/>
            </w:tcMar>
            <w:vAlign w:val="bottom"/>
          </w:tcPr>
          <w:p w:rsidR="00000000" w:rsidDel="00000000" w:rsidP="00000000" w:rsidRDefault="00000000" w:rsidRPr="00000000" w14:paraId="0000004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 threshold</w:t>
            </w:r>
          </w:p>
        </w:tc>
        <w:tc>
          <w:tcPr>
            <w:shd w:fill="cccccc" w:val="clear"/>
            <w:tcMar>
              <w:top w:w="40.0" w:type="dxa"/>
              <w:left w:w="40.0" w:type="dxa"/>
              <w:bottom w:w="40.0" w:type="dxa"/>
              <w:right w:w="40.0" w:type="dxa"/>
            </w:tcMar>
            <w:vAlign w:val="bottom"/>
          </w:tcPr>
          <w:p w:rsidR="00000000" w:rsidDel="00000000" w:rsidP="00000000" w:rsidRDefault="00000000" w:rsidRPr="00000000" w14:paraId="0000004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representatives</w:t>
            </w:r>
          </w:p>
        </w:tc>
        <w:tc>
          <w:tcPr>
            <w:shd w:fill="cccccc" w:val="clear"/>
            <w:tcMar>
              <w:top w:w="40.0" w:type="dxa"/>
              <w:left w:w="40.0" w:type="dxa"/>
              <w:bottom w:w="40.0" w:type="dxa"/>
              <w:right w:w="40.0" w:type="dxa"/>
            </w:tcMar>
            <w:vAlign w:val="bottom"/>
          </w:tcPr>
          <w:p w:rsidR="00000000" w:rsidDel="00000000" w:rsidP="00000000" w:rsidRDefault="00000000" w:rsidRPr="00000000" w14:paraId="0000004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derepl. packs</w:t>
            </w:r>
          </w:p>
        </w:tc>
      </w:tr>
      <w:tr>
        <w:tc>
          <w:tcPr>
            <w:shd w:fill="cccccc" w:val="clear"/>
            <w:tcMar>
              <w:top w:w="40.0" w:type="dxa"/>
              <w:left w:w="40.0" w:type="dxa"/>
              <w:bottom w:w="40.0" w:type="dxa"/>
              <w:right w:w="40.0" w:type="dxa"/>
            </w:tcMar>
            <w:vAlign w:val="bottom"/>
          </w:tcPr>
          <w:p w:rsidR="00000000" w:rsidDel="00000000" w:rsidP="00000000" w:rsidRDefault="00000000" w:rsidRPr="00000000" w14:paraId="0000004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Mar>
              <w:top w:w="40.0" w:type="dxa"/>
              <w:left w:w="40.0" w:type="dxa"/>
              <w:bottom w:w="40.0" w:type="dxa"/>
              <w:right w:w="40.0" w:type="dxa"/>
            </w:tcMar>
            <w:vAlign w:val="bottom"/>
          </w:tcPr>
          <w:p w:rsidR="00000000" w:rsidDel="00000000" w:rsidP="00000000" w:rsidRDefault="00000000" w:rsidRPr="00000000" w14:paraId="0000004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111,855</w:t>
            </w:r>
          </w:p>
        </w:tc>
        <w:tc>
          <w:tcPr>
            <w:tcMar>
              <w:top w:w="40.0" w:type="dxa"/>
              <w:left w:w="40.0" w:type="dxa"/>
              <w:bottom w:w="40.0" w:type="dxa"/>
              <w:right w:w="40.0" w:type="dxa"/>
            </w:tcMar>
            <w:vAlign w:val="bottom"/>
          </w:tcPr>
          <w:p w:rsidR="00000000" w:rsidDel="00000000" w:rsidP="00000000" w:rsidRDefault="00000000" w:rsidRPr="00000000" w14:paraId="0000004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shd w:fill="cccccc" w:val="clear"/>
            <w:tcMar>
              <w:top w:w="40.0" w:type="dxa"/>
              <w:left w:w="40.0" w:type="dxa"/>
              <w:bottom w:w="40.0" w:type="dxa"/>
              <w:right w:w="40.0" w:type="dxa"/>
            </w:tcMar>
            <w:vAlign w:val="bottom"/>
          </w:tcPr>
          <w:p w:rsidR="00000000" w:rsidDel="00000000" w:rsidP="00000000" w:rsidRDefault="00000000" w:rsidRPr="00000000" w14:paraId="0000004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tcMar>
              <w:top w:w="40.0" w:type="dxa"/>
              <w:left w:w="40.0" w:type="dxa"/>
              <w:bottom w:w="40.0" w:type="dxa"/>
              <w:right w:w="40.0" w:type="dxa"/>
            </w:tcMar>
            <w:vAlign w:val="bottom"/>
          </w:tcPr>
          <w:p w:rsidR="00000000" w:rsidDel="00000000" w:rsidP="00000000" w:rsidRDefault="00000000" w:rsidRPr="00000000" w14:paraId="0000004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110,160</w:t>
            </w:r>
          </w:p>
        </w:tc>
        <w:tc>
          <w:tcPr>
            <w:tcMar>
              <w:top w:w="40.0" w:type="dxa"/>
              <w:left w:w="40.0" w:type="dxa"/>
              <w:bottom w:w="40.0" w:type="dxa"/>
              <w:right w:w="40.0" w:type="dxa"/>
            </w:tcMar>
            <w:vAlign w:val="bottom"/>
          </w:tcPr>
          <w:p w:rsidR="00000000" w:rsidDel="00000000" w:rsidP="00000000" w:rsidRDefault="00000000" w:rsidRPr="00000000" w14:paraId="0000004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c>
          <w:tcPr>
            <w:shd w:fill="cccccc" w:val="clear"/>
            <w:tcMar>
              <w:top w:w="40.0" w:type="dxa"/>
              <w:left w:w="40.0" w:type="dxa"/>
              <w:bottom w:w="40.0" w:type="dxa"/>
              <w:right w:w="40.0" w:type="dxa"/>
            </w:tcMar>
            <w:vAlign w:val="bottom"/>
          </w:tcPr>
          <w:p w:rsidR="00000000" w:rsidDel="00000000" w:rsidP="00000000" w:rsidRDefault="00000000" w:rsidRPr="00000000" w14:paraId="0000004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w:t>
            </w:r>
          </w:p>
        </w:tc>
        <w:tc>
          <w:tcPr>
            <w:tcMar>
              <w:top w:w="40.0" w:type="dxa"/>
              <w:left w:w="40.0" w:type="dxa"/>
              <w:bottom w:w="40.0" w:type="dxa"/>
              <w:right w:w="40.0" w:type="dxa"/>
            </w:tcMar>
            <w:vAlign w:val="bottom"/>
          </w:tcPr>
          <w:p w:rsidR="00000000" w:rsidDel="00000000" w:rsidP="00000000" w:rsidRDefault="00000000" w:rsidRPr="00000000" w14:paraId="0000004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111,596</w:t>
            </w:r>
          </w:p>
        </w:tc>
        <w:tc>
          <w:tcPr>
            <w:tcMar>
              <w:top w:w="40.0" w:type="dxa"/>
              <w:left w:w="40.0" w:type="dxa"/>
              <w:bottom w:w="40.0" w:type="dxa"/>
              <w:right w:w="40.0" w:type="dxa"/>
            </w:tcMar>
            <w:vAlign w:val="bottom"/>
          </w:tcPr>
          <w:p w:rsidR="00000000" w:rsidDel="00000000" w:rsidP="00000000" w:rsidRDefault="00000000" w:rsidRPr="00000000" w14:paraId="0000004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cccccc" w:val="clear"/>
            <w:tcMar>
              <w:top w:w="40.0" w:type="dxa"/>
              <w:left w:w="40.0" w:type="dxa"/>
              <w:bottom w:w="40.0" w:type="dxa"/>
              <w:right w:w="40.0" w:type="dxa"/>
            </w:tcMar>
            <w:vAlign w:val="bottom"/>
          </w:tcPr>
          <w:p w:rsidR="00000000" w:rsidDel="00000000" w:rsidP="00000000" w:rsidRDefault="00000000" w:rsidRPr="00000000" w14:paraId="0000004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w:t>
            </w:r>
          </w:p>
        </w:tc>
        <w:tc>
          <w:tcPr>
            <w:tcMar>
              <w:top w:w="40.0" w:type="dxa"/>
              <w:left w:w="40.0" w:type="dxa"/>
              <w:bottom w:w="40.0" w:type="dxa"/>
              <w:right w:w="40.0" w:type="dxa"/>
            </w:tcMar>
            <w:vAlign w:val="bottom"/>
          </w:tcPr>
          <w:p w:rsidR="00000000" w:rsidDel="00000000" w:rsidP="00000000" w:rsidRDefault="00000000" w:rsidRPr="00000000" w14:paraId="0000004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112,254</w:t>
            </w:r>
          </w:p>
        </w:tc>
        <w:tc>
          <w:tcPr>
            <w:tcMar>
              <w:top w:w="40.0" w:type="dxa"/>
              <w:left w:w="40.0" w:type="dxa"/>
              <w:bottom w:w="40.0" w:type="dxa"/>
              <w:right w:w="40.0" w:type="dxa"/>
            </w:tcMar>
            <w:vAlign w:val="bottom"/>
          </w:tcPr>
          <w:p w:rsidR="00000000" w:rsidDel="00000000" w:rsidP="00000000" w:rsidRDefault="00000000" w:rsidRPr="00000000" w14:paraId="0000004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cccccc" w:val="clear"/>
            <w:tcMar>
              <w:top w:w="40.0" w:type="dxa"/>
              <w:left w:w="40.0" w:type="dxa"/>
              <w:bottom w:w="40.0" w:type="dxa"/>
              <w:right w:w="40.0" w:type="dxa"/>
            </w:tcMar>
            <w:vAlign w:val="bottom"/>
          </w:tcPr>
          <w:p w:rsidR="00000000" w:rsidDel="00000000" w:rsidP="00000000" w:rsidRDefault="00000000" w:rsidRPr="00000000" w14:paraId="0000004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w:t>
            </w:r>
          </w:p>
        </w:tc>
        <w:tc>
          <w:tcPr>
            <w:tcMar>
              <w:top w:w="40.0" w:type="dxa"/>
              <w:left w:w="40.0" w:type="dxa"/>
              <w:bottom w:w="40.0" w:type="dxa"/>
              <w:right w:w="40.0" w:type="dxa"/>
            </w:tcMar>
            <w:vAlign w:val="bottom"/>
          </w:tcPr>
          <w:p w:rsidR="00000000" w:rsidDel="00000000" w:rsidP="00000000" w:rsidRDefault="00000000" w:rsidRPr="00000000" w14:paraId="0000005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108,774</w:t>
            </w:r>
          </w:p>
        </w:tc>
        <w:tc>
          <w:tcPr>
            <w:tcMar>
              <w:top w:w="40.0" w:type="dxa"/>
              <w:left w:w="40.0" w:type="dxa"/>
              <w:bottom w:w="40.0" w:type="dxa"/>
              <w:right w:w="40.0" w:type="dxa"/>
            </w:tcMar>
            <w:vAlign w:val="bottom"/>
          </w:tcPr>
          <w:p w:rsidR="00000000" w:rsidDel="00000000" w:rsidP="00000000" w:rsidRDefault="00000000" w:rsidRPr="00000000" w14:paraId="0000005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c>
          <w:tcPr>
            <w:shd w:fill="cccccc" w:val="clear"/>
            <w:tcMar>
              <w:top w:w="40.0" w:type="dxa"/>
              <w:left w:w="40.0" w:type="dxa"/>
              <w:bottom w:w="40.0" w:type="dxa"/>
              <w:right w:w="40.0" w:type="dxa"/>
            </w:tcMar>
            <w:vAlign w:val="bottom"/>
          </w:tcPr>
          <w:p w:rsidR="00000000" w:rsidDel="00000000" w:rsidP="00000000" w:rsidRDefault="00000000" w:rsidRPr="00000000" w14:paraId="0000005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w:t>
            </w:r>
          </w:p>
        </w:tc>
        <w:tc>
          <w:tcPr>
            <w:tcMar>
              <w:top w:w="40.0" w:type="dxa"/>
              <w:left w:w="40.0" w:type="dxa"/>
              <w:bottom w:w="40.0" w:type="dxa"/>
              <w:right w:w="40.0" w:type="dxa"/>
            </w:tcMar>
            <w:vAlign w:val="bottom"/>
          </w:tcPr>
          <w:p w:rsidR="00000000" w:rsidDel="00000000" w:rsidP="00000000" w:rsidRDefault="00000000" w:rsidRPr="00000000" w14:paraId="0000005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111,755</w:t>
            </w:r>
          </w:p>
        </w:tc>
        <w:tc>
          <w:tcPr>
            <w:tcMar>
              <w:top w:w="40.0" w:type="dxa"/>
              <w:left w:w="40.0" w:type="dxa"/>
              <w:bottom w:w="40.0" w:type="dxa"/>
              <w:right w:w="40.0" w:type="dxa"/>
            </w:tcMar>
            <w:vAlign w:val="bottom"/>
          </w:tcPr>
          <w:p w:rsidR="00000000" w:rsidDel="00000000" w:rsidP="00000000" w:rsidRDefault="00000000" w:rsidRPr="00000000" w14:paraId="0000005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bl>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Supplementary Table 3. Attempts at dereplicating all RefSeq Bacteria (releases 79+92, 112,254 genomes) using Assembly-Dereplicator.</w:t>
      </w:r>
      <w:r w:rsidDel="00000000" w:rsidR="00000000" w:rsidRPr="00000000">
        <w:rPr>
          <w:rFonts w:ascii="Times New Roman" w:cs="Times New Roman" w:eastAsia="Times New Roman" w:hAnsi="Times New Roman"/>
          <w:sz w:val="24"/>
          <w:szCs w:val="24"/>
          <w:rtl w:val="0"/>
        </w:rPr>
        <w:t xml:space="preserve"> Analyses were run using 6 different distance thresholds and the default pack size of 500 (225 packs).</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Apparently, A-D does not work with very large and non-homogeneous groups of genomes. We did not investigate further the script with large non-homogenous datasets since our tests clearly showed that it cannot be compared, in its present state, with TQMD. A-D can dereplicate smaller sets of homogeneous genomes (such as the </w:t>
      </w:r>
      <w:r w:rsidDel="00000000" w:rsidR="00000000" w:rsidRPr="00000000">
        <w:rPr>
          <w:rFonts w:ascii="Times New Roman" w:cs="Times New Roman" w:eastAsia="Times New Roman" w:hAnsi="Times New Roman"/>
          <w:sz w:val="24"/>
          <w:szCs w:val="24"/>
          <w:rtl w:val="0"/>
        </w:rPr>
        <w:t xml:space="preserve">Cyanobacteria</w:t>
      </w:r>
      <w:r w:rsidDel="00000000" w:rsidR="00000000" w:rsidRPr="00000000">
        <w:rPr>
          <w:rFonts w:ascii="Times New Roman" w:cs="Times New Roman" w:eastAsia="Times New Roman" w:hAnsi="Times New Roman"/>
          <w:sz w:val="24"/>
          <w:szCs w:val="24"/>
          <w:rtl w:val="0"/>
        </w:rPr>
        <w:t xml:space="preserve"> or the aforementioned Bacteroidetes and Streptomycetales) provided the bug with Mash not being recognized is solved. Yet, drawing on our own tests with TQMD (see main text), our intuition is that the A-D approach based on a random splitting of the genomes to dereplicate, if appropriate when working with homogeneous genomes, are likely to be inefficient when it comes to non-homogeneous datasets. Moreover, the stop conditions of the iterative heuristics obviously lead A-D to get stuck very easily.</w:t>
      </w:r>
    </w:p>
    <w:sectPr>
      <w:footerReference r:id="rId6" w:type="default"/>
      <w:pgSz w:h="15840" w:w="12240"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