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9077" w14:textId="0714CE68" w:rsidR="00964C4A" w:rsidRDefault="00964C4A" w:rsidP="00964C4A">
      <w:pPr>
        <w:spacing w:line="480" w:lineRule="auto"/>
      </w:pPr>
      <w:r w:rsidRPr="00A223B9">
        <w:t xml:space="preserve">Supplemental Table </w:t>
      </w:r>
      <w:r w:rsidR="006004CB">
        <w:t>9</w:t>
      </w:r>
      <w:r w:rsidRPr="00A223B9">
        <w:t xml:space="preserve">. </w:t>
      </w:r>
      <w:r>
        <w:t>Adjusted multivariable regression analysis of</w:t>
      </w:r>
      <w:r w:rsidRPr="00456C04">
        <w:t xml:space="preserve"> AKD </w:t>
      </w:r>
      <w:r>
        <w:t>stage on</w:t>
      </w:r>
      <w:r w:rsidRPr="00456C04">
        <w:t xml:space="preserve"> 30-day and one-year adverse outcomes</w:t>
      </w:r>
      <w:r>
        <w:t xml:space="preserve"> in critically ill and non-critically ill patients.</w:t>
      </w:r>
    </w:p>
    <w:tbl>
      <w:tblPr>
        <w:tblStyle w:val="a3"/>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769"/>
        <w:gridCol w:w="1921"/>
        <w:gridCol w:w="328"/>
        <w:gridCol w:w="1763"/>
        <w:gridCol w:w="1925"/>
      </w:tblGrid>
      <w:tr w:rsidR="00964C4A" w14:paraId="6262CA88" w14:textId="77777777" w:rsidTr="0005432F">
        <w:tc>
          <w:tcPr>
            <w:tcW w:w="1001" w:type="pct"/>
            <w:tcBorders>
              <w:top w:val="single" w:sz="4" w:space="0" w:color="auto"/>
            </w:tcBorders>
          </w:tcPr>
          <w:p w14:paraId="59082402" w14:textId="77777777" w:rsidR="00964C4A" w:rsidRDefault="00964C4A" w:rsidP="0005432F"/>
        </w:tc>
        <w:tc>
          <w:tcPr>
            <w:tcW w:w="1915" w:type="pct"/>
            <w:gridSpan w:val="2"/>
            <w:tcBorders>
              <w:top w:val="single" w:sz="4" w:space="0" w:color="auto"/>
              <w:bottom w:val="single" w:sz="4" w:space="0" w:color="auto"/>
            </w:tcBorders>
          </w:tcPr>
          <w:p w14:paraId="285A52FE" w14:textId="77777777" w:rsidR="00964C4A" w:rsidRPr="002C057D" w:rsidRDefault="00964C4A" w:rsidP="0005432F">
            <w:pPr>
              <w:jc w:val="center"/>
              <w:rPr>
                <w:i/>
                <w:vertAlign w:val="superscript"/>
              </w:rPr>
            </w:pPr>
            <w:r>
              <w:t>Critically ill</w:t>
            </w:r>
            <w:r>
              <w:rPr>
                <w:i/>
                <w:vertAlign w:val="superscript"/>
              </w:rPr>
              <w:t>a</w:t>
            </w:r>
          </w:p>
        </w:tc>
        <w:tc>
          <w:tcPr>
            <w:tcW w:w="170" w:type="pct"/>
            <w:tcBorders>
              <w:top w:val="single" w:sz="4" w:space="0" w:color="auto"/>
            </w:tcBorders>
          </w:tcPr>
          <w:p w14:paraId="2C2EB430" w14:textId="77777777" w:rsidR="00964C4A" w:rsidRPr="002C057D" w:rsidRDefault="00964C4A" w:rsidP="0005432F">
            <w:pPr>
              <w:jc w:val="center"/>
              <w:rPr>
                <w:i/>
                <w:vertAlign w:val="superscript"/>
              </w:rPr>
            </w:pPr>
          </w:p>
        </w:tc>
        <w:tc>
          <w:tcPr>
            <w:tcW w:w="1914" w:type="pct"/>
            <w:gridSpan w:val="2"/>
            <w:tcBorders>
              <w:top w:val="single" w:sz="4" w:space="0" w:color="auto"/>
              <w:bottom w:val="single" w:sz="4" w:space="0" w:color="auto"/>
            </w:tcBorders>
          </w:tcPr>
          <w:p w14:paraId="16C36E15" w14:textId="77777777" w:rsidR="00964C4A" w:rsidRPr="002E4EB4" w:rsidRDefault="00964C4A" w:rsidP="0005432F">
            <w:pPr>
              <w:jc w:val="center"/>
              <w:rPr>
                <w:i/>
                <w:vertAlign w:val="superscript"/>
              </w:rPr>
            </w:pPr>
            <w:r>
              <w:t>Non-critically ill</w:t>
            </w:r>
            <w:r>
              <w:rPr>
                <w:i/>
                <w:vertAlign w:val="superscript"/>
              </w:rPr>
              <w:t>b</w:t>
            </w:r>
          </w:p>
        </w:tc>
      </w:tr>
      <w:tr w:rsidR="00964C4A" w14:paraId="096F17F5" w14:textId="77777777" w:rsidTr="0005432F">
        <w:tc>
          <w:tcPr>
            <w:tcW w:w="1001" w:type="pct"/>
            <w:tcBorders>
              <w:bottom w:val="single" w:sz="4" w:space="0" w:color="auto"/>
            </w:tcBorders>
          </w:tcPr>
          <w:p w14:paraId="0300B860" w14:textId="77777777" w:rsidR="00964C4A" w:rsidRDefault="00964C4A" w:rsidP="0005432F">
            <w:r>
              <w:rPr>
                <w:rFonts w:hint="eastAsia"/>
              </w:rPr>
              <w:t>O</w:t>
            </w:r>
            <w:r>
              <w:t>utcomes</w:t>
            </w:r>
          </w:p>
        </w:tc>
        <w:tc>
          <w:tcPr>
            <w:tcW w:w="918" w:type="pct"/>
            <w:tcBorders>
              <w:bottom w:val="single" w:sz="4" w:space="0" w:color="auto"/>
            </w:tcBorders>
          </w:tcPr>
          <w:p w14:paraId="4DADDCBE" w14:textId="77777777" w:rsidR="00964C4A" w:rsidRDefault="00964C4A" w:rsidP="0005432F">
            <w:pPr>
              <w:jc w:val="center"/>
            </w:pPr>
            <w:r>
              <w:rPr>
                <w:rFonts w:hint="eastAsia"/>
              </w:rPr>
              <w:t>A</w:t>
            </w:r>
            <w:r>
              <w:t>KD</w:t>
            </w:r>
          </w:p>
          <w:p w14:paraId="21FA42C3" w14:textId="77777777" w:rsidR="00964C4A" w:rsidRDefault="00964C4A" w:rsidP="0005432F">
            <w:pPr>
              <w:jc w:val="center"/>
            </w:pPr>
            <w:r>
              <w:t>stage 1</w:t>
            </w:r>
          </w:p>
        </w:tc>
        <w:tc>
          <w:tcPr>
            <w:tcW w:w="1167" w:type="pct"/>
            <w:gridSpan w:val="2"/>
            <w:tcBorders>
              <w:bottom w:val="single" w:sz="4" w:space="0" w:color="auto"/>
            </w:tcBorders>
          </w:tcPr>
          <w:p w14:paraId="18E0063D" w14:textId="77777777" w:rsidR="00964C4A" w:rsidRDefault="00964C4A" w:rsidP="0005432F">
            <w:pPr>
              <w:jc w:val="center"/>
            </w:pPr>
            <w:r>
              <w:rPr>
                <w:rFonts w:hint="eastAsia"/>
              </w:rPr>
              <w:t>A</w:t>
            </w:r>
            <w:r>
              <w:t>KD</w:t>
            </w:r>
          </w:p>
          <w:p w14:paraId="655C0C01" w14:textId="77777777" w:rsidR="00964C4A" w:rsidRDefault="00964C4A" w:rsidP="0005432F">
            <w:pPr>
              <w:jc w:val="center"/>
            </w:pPr>
            <w:r>
              <w:t>stage2-3</w:t>
            </w:r>
          </w:p>
        </w:tc>
        <w:tc>
          <w:tcPr>
            <w:tcW w:w="915" w:type="pct"/>
            <w:tcBorders>
              <w:top w:val="single" w:sz="4" w:space="0" w:color="auto"/>
              <w:bottom w:val="single" w:sz="4" w:space="0" w:color="auto"/>
            </w:tcBorders>
          </w:tcPr>
          <w:p w14:paraId="174564E6" w14:textId="77777777" w:rsidR="00964C4A" w:rsidRDefault="00964C4A" w:rsidP="0005432F">
            <w:pPr>
              <w:jc w:val="center"/>
            </w:pPr>
            <w:r>
              <w:rPr>
                <w:rFonts w:hint="eastAsia"/>
              </w:rPr>
              <w:t>A</w:t>
            </w:r>
            <w:r>
              <w:t>KD</w:t>
            </w:r>
          </w:p>
          <w:p w14:paraId="5C3C798F" w14:textId="77777777" w:rsidR="00964C4A" w:rsidRDefault="00964C4A" w:rsidP="0005432F">
            <w:pPr>
              <w:jc w:val="center"/>
            </w:pPr>
            <w:r>
              <w:t>stage 1</w:t>
            </w:r>
          </w:p>
        </w:tc>
        <w:tc>
          <w:tcPr>
            <w:tcW w:w="999" w:type="pct"/>
            <w:tcBorders>
              <w:top w:val="single" w:sz="4" w:space="0" w:color="auto"/>
              <w:bottom w:val="single" w:sz="4" w:space="0" w:color="auto"/>
            </w:tcBorders>
          </w:tcPr>
          <w:p w14:paraId="17105106" w14:textId="77777777" w:rsidR="00964C4A" w:rsidRDefault="00964C4A" w:rsidP="0005432F">
            <w:pPr>
              <w:jc w:val="center"/>
            </w:pPr>
            <w:r>
              <w:rPr>
                <w:rFonts w:hint="eastAsia"/>
              </w:rPr>
              <w:t>A</w:t>
            </w:r>
            <w:r>
              <w:t>KD</w:t>
            </w:r>
          </w:p>
          <w:p w14:paraId="68010022" w14:textId="77777777" w:rsidR="00964C4A" w:rsidRDefault="00964C4A" w:rsidP="0005432F">
            <w:pPr>
              <w:jc w:val="center"/>
            </w:pPr>
            <w:r>
              <w:t>stage 2-3</w:t>
            </w:r>
          </w:p>
        </w:tc>
      </w:tr>
      <w:tr w:rsidR="00964C4A" w14:paraId="68EE5B3D" w14:textId="77777777" w:rsidTr="0005432F">
        <w:trPr>
          <w:trHeight w:val="454"/>
        </w:trPr>
        <w:tc>
          <w:tcPr>
            <w:tcW w:w="5000" w:type="pct"/>
            <w:gridSpan w:val="6"/>
            <w:tcBorders>
              <w:top w:val="single" w:sz="4" w:space="0" w:color="auto"/>
            </w:tcBorders>
          </w:tcPr>
          <w:p w14:paraId="05F6D24C" w14:textId="77777777" w:rsidR="00964C4A" w:rsidRPr="00465F7E" w:rsidRDefault="00964C4A" w:rsidP="0005432F">
            <w:pPr>
              <w:jc w:val="left"/>
              <w:rPr>
                <w:b/>
              </w:rPr>
            </w:pPr>
            <w:r w:rsidRPr="00465F7E">
              <w:rPr>
                <w:rFonts w:hint="eastAsia"/>
                <w:b/>
              </w:rPr>
              <w:t>3</w:t>
            </w:r>
            <w:r w:rsidRPr="00465F7E">
              <w:rPr>
                <w:b/>
              </w:rPr>
              <w:t>0-day adverse outcomes</w:t>
            </w:r>
          </w:p>
        </w:tc>
      </w:tr>
      <w:tr w:rsidR="00964C4A" w14:paraId="79F3E35B" w14:textId="77777777" w:rsidTr="0005432F">
        <w:tc>
          <w:tcPr>
            <w:tcW w:w="1001" w:type="pct"/>
          </w:tcPr>
          <w:p w14:paraId="1B2F24C1" w14:textId="77777777" w:rsidR="00964C4A" w:rsidRDefault="00964C4A" w:rsidP="0005432F">
            <w:pPr>
              <w:spacing w:line="480" w:lineRule="auto"/>
              <w:jc w:val="center"/>
            </w:pPr>
            <w:r>
              <w:t>PRD</w:t>
            </w:r>
            <w:r>
              <w:rPr>
                <w:i/>
                <w:vertAlign w:val="superscript"/>
              </w:rPr>
              <w:t>c</w:t>
            </w:r>
          </w:p>
        </w:tc>
        <w:tc>
          <w:tcPr>
            <w:tcW w:w="918" w:type="pct"/>
          </w:tcPr>
          <w:p w14:paraId="7AA1C1AC" w14:textId="77777777" w:rsidR="00964C4A" w:rsidRDefault="00964C4A" w:rsidP="0005432F">
            <w:pPr>
              <w:jc w:val="center"/>
            </w:pPr>
            <w:r>
              <w:rPr>
                <w:rFonts w:hint="eastAsia"/>
              </w:rPr>
              <w:t>2</w:t>
            </w:r>
            <w:r>
              <w:t>2.78</w:t>
            </w:r>
          </w:p>
          <w:p w14:paraId="2A8FE137" w14:textId="77777777" w:rsidR="00964C4A" w:rsidRDefault="00964C4A" w:rsidP="0005432F">
            <w:pPr>
              <w:jc w:val="center"/>
            </w:pPr>
            <w:r>
              <w:t>(2.78-186.36)</w:t>
            </w:r>
          </w:p>
        </w:tc>
        <w:tc>
          <w:tcPr>
            <w:tcW w:w="1167" w:type="pct"/>
            <w:gridSpan w:val="2"/>
          </w:tcPr>
          <w:p w14:paraId="6CBFCD06" w14:textId="77777777" w:rsidR="00964C4A" w:rsidRDefault="00964C4A" w:rsidP="0005432F">
            <w:pPr>
              <w:jc w:val="center"/>
            </w:pPr>
            <w:r>
              <w:rPr>
                <w:rFonts w:hint="eastAsia"/>
              </w:rPr>
              <w:t>9</w:t>
            </w:r>
            <w:r>
              <w:t>11.01</w:t>
            </w:r>
          </w:p>
          <w:p w14:paraId="15295B6A" w14:textId="77777777" w:rsidR="00964C4A" w:rsidRDefault="00964C4A" w:rsidP="0005432F">
            <w:pPr>
              <w:jc w:val="center"/>
            </w:pPr>
            <w:r>
              <w:t>(123.77-6705.49)</w:t>
            </w:r>
          </w:p>
        </w:tc>
        <w:tc>
          <w:tcPr>
            <w:tcW w:w="915" w:type="pct"/>
          </w:tcPr>
          <w:p w14:paraId="6EA4AB46" w14:textId="77777777" w:rsidR="00964C4A" w:rsidRDefault="00964C4A" w:rsidP="0005432F">
            <w:pPr>
              <w:jc w:val="center"/>
            </w:pPr>
            <w:r>
              <w:rPr>
                <w:rFonts w:hint="eastAsia"/>
              </w:rPr>
              <w:t>5</w:t>
            </w:r>
            <w:r>
              <w:t>.06</w:t>
            </w:r>
          </w:p>
          <w:p w14:paraId="3E4B9E5B" w14:textId="77777777" w:rsidR="00964C4A" w:rsidRDefault="00964C4A" w:rsidP="0005432F">
            <w:pPr>
              <w:jc w:val="center"/>
            </w:pPr>
            <w:r>
              <w:t>(2.73-9.36)</w:t>
            </w:r>
          </w:p>
        </w:tc>
        <w:tc>
          <w:tcPr>
            <w:tcW w:w="999" w:type="pct"/>
          </w:tcPr>
          <w:p w14:paraId="7606E1B2" w14:textId="77777777" w:rsidR="00964C4A" w:rsidRDefault="00964C4A" w:rsidP="0005432F">
            <w:pPr>
              <w:jc w:val="center"/>
            </w:pPr>
            <w:r>
              <w:rPr>
                <w:rFonts w:hint="eastAsia"/>
              </w:rPr>
              <w:t>1</w:t>
            </w:r>
            <w:r>
              <w:t>11.63</w:t>
            </w:r>
          </w:p>
          <w:p w14:paraId="010D654D" w14:textId="77777777" w:rsidR="00964C4A" w:rsidRDefault="00964C4A" w:rsidP="0005432F">
            <w:pPr>
              <w:jc w:val="center"/>
            </w:pPr>
            <w:r>
              <w:t>(65.68-189.71)</w:t>
            </w:r>
          </w:p>
        </w:tc>
      </w:tr>
      <w:tr w:rsidR="00964C4A" w14:paraId="3484E8D5" w14:textId="77777777" w:rsidTr="0005432F">
        <w:tc>
          <w:tcPr>
            <w:tcW w:w="1001" w:type="pct"/>
          </w:tcPr>
          <w:p w14:paraId="1C661698" w14:textId="77777777" w:rsidR="00964C4A" w:rsidRPr="00D0470D" w:rsidRDefault="00964C4A" w:rsidP="0005432F">
            <w:pPr>
              <w:jc w:val="center"/>
            </w:pPr>
            <w:r>
              <w:t>New receipt of RRT</w:t>
            </w:r>
            <w:r>
              <w:rPr>
                <w:i/>
                <w:vertAlign w:val="superscript"/>
              </w:rPr>
              <w:t>c</w:t>
            </w:r>
          </w:p>
        </w:tc>
        <w:tc>
          <w:tcPr>
            <w:tcW w:w="918" w:type="pct"/>
          </w:tcPr>
          <w:p w14:paraId="137D7FE4" w14:textId="77777777" w:rsidR="00964C4A" w:rsidRDefault="00964C4A" w:rsidP="0005432F">
            <w:pPr>
              <w:jc w:val="center"/>
            </w:pPr>
            <w:r>
              <w:rPr>
                <w:rFonts w:hint="eastAsia"/>
              </w:rPr>
              <w:t>2</w:t>
            </w:r>
            <w:r>
              <w:t>.11</w:t>
            </w:r>
          </w:p>
          <w:p w14:paraId="50A009EC" w14:textId="77777777" w:rsidR="00964C4A" w:rsidRDefault="00964C4A" w:rsidP="0005432F">
            <w:pPr>
              <w:jc w:val="center"/>
            </w:pPr>
            <w:r>
              <w:t>(0.31-14.27)</w:t>
            </w:r>
          </w:p>
        </w:tc>
        <w:tc>
          <w:tcPr>
            <w:tcW w:w="1167" w:type="pct"/>
            <w:gridSpan w:val="2"/>
          </w:tcPr>
          <w:p w14:paraId="26A97023" w14:textId="77777777" w:rsidR="00964C4A" w:rsidRDefault="00964C4A" w:rsidP="0005432F">
            <w:pPr>
              <w:jc w:val="center"/>
            </w:pPr>
            <w:r>
              <w:rPr>
                <w:rFonts w:hint="eastAsia"/>
              </w:rPr>
              <w:t>8</w:t>
            </w:r>
            <w:r>
              <w:t xml:space="preserve">.67 </w:t>
            </w:r>
          </w:p>
          <w:p w14:paraId="4D3FBA8B" w14:textId="77777777" w:rsidR="00964C4A" w:rsidRDefault="00964C4A" w:rsidP="0005432F">
            <w:pPr>
              <w:jc w:val="center"/>
            </w:pPr>
            <w:r>
              <w:t>(1.86-40.28)</w:t>
            </w:r>
          </w:p>
        </w:tc>
        <w:tc>
          <w:tcPr>
            <w:tcW w:w="915" w:type="pct"/>
          </w:tcPr>
          <w:p w14:paraId="20E43972" w14:textId="77777777" w:rsidR="00964C4A" w:rsidRDefault="00964C4A" w:rsidP="0005432F">
            <w:pPr>
              <w:jc w:val="center"/>
            </w:pPr>
            <w:r>
              <w:rPr>
                <w:rFonts w:hint="eastAsia"/>
              </w:rPr>
              <w:t>6</w:t>
            </w:r>
            <w:r>
              <w:t>.77</w:t>
            </w:r>
          </w:p>
          <w:p w14:paraId="6E7C80CF" w14:textId="77777777" w:rsidR="00964C4A" w:rsidRDefault="00964C4A" w:rsidP="0005432F">
            <w:pPr>
              <w:jc w:val="center"/>
            </w:pPr>
            <w:r>
              <w:t>(0.69-66.89)</w:t>
            </w:r>
          </w:p>
        </w:tc>
        <w:tc>
          <w:tcPr>
            <w:tcW w:w="999" w:type="pct"/>
          </w:tcPr>
          <w:p w14:paraId="39668075" w14:textId="77777777" w:rsidR="00964C4A" w:rsidRDefault="00964C4A" w:rsidP="0005432F">
            <w:pPr>
              <w:jc w:val="center"/>
            </w:pPr>
            <w:r>
              <w:rPr>
                <w:rFonts w:hint="eastAsia"/>
              </w:rPr>
              <w:t>4</w:t>
            </w:r>
            <w:r>
              <w:t>3.32</w:t>
            </w:r>
          </w:p>
          <w:p w14:paraId="2C5ADAB4" w14:textId="77777777" w:rsidR="00964C4A" w:rsidRDefault="00964C4A" w:rsidP="0005432F">
            <w:pPr>
              <w:jc w:val="center"/>
            </w:pPr>
            <w:r>
              <w:t>(5.76-325.94)</w:t>
            </w:r>
          </w:p>
        </w:tc>
      </w:tr>
      <w:tr w:rsidR="00964C4A" w14:paraId="64ECE839" w14:textId="77777777" w:rsidTr="0005432F">
        <w:tc>
          <w:tcPr>
            <w:tcW w:w="1001" w:type="pct"/>
          </w:tcPr>
          <w:p w14:paraId="69E50B1E" w14:textId="77777777" w:rsidR="00964C4A" w:rsidRPr="002C057D" w:rsidRDefault="00964C4A" w:rsidP="0005432F">
            <w:pPr>
              <w:spacing w:line="480" w:lineRule="auto"/>
              <w:jc w:val="center"/>
              <w:rPr>
                <w:i/>
                <w:vertAlign w:val="superscript"/>
              </w:rPr>
            </w:pPr>
            <w:r>
              <w:t>Mortality</w:t>
            </w:r>
            <w:r>
              <w:rPr>
                <w:i/>
                <w:vertAlign w:val="superscript"/>
              </w:rPr>
              <w:t>d</w:t>
            </w:r>
          </w:p>
        </w:tc>
        <w:tc>
          <w:tcPr>
            <w:tcW w:w="918" w:type="pct"/>
          </w:tcPr>
          <w:p w14:paraId="12E872A4" w14:textId="77777777" w:rsidR="00964C4A" w:rsidRDefault="00964C4A" w:rsidP="0005432F">
            <w:pPr>
              <w:jc w:val="center"/>
            </w:pPr>
            <w:r>
              <w:rPr>
                <w:rFonts w:hint="eastAsia"/>
              </w:rPr>
              <w:t>1</w:t>
            </w:r>
            <w:r>
              <w:t>.50</w:t>
            </w:r>
          </w:p>
          <w:p w14:paraId="7A82B0E7" w14:textId="77777777" w:rsidR="00964C4A" w:rsidRDefault="00964C4A" w:rsidP="0005432F">
            <w:pPr>
              <w:jc w:val="center"/>
            </w:pPr>
            <w:r>
              <w:t>(0.89-2.52)</w:t>
            </w:r>
          </w:p>
        </w:tc>
        <w:tc>
          <w:tcPr>
            <w:tcW w:w="1167" w:type="pct"/>
            <w:gridSpan w:val="2"/>
          </w:tcPr>
          <w:p w14:paraId="02C97805" w14:textId="77777777" w:rsidR="00964C4A" w:rsidRDefault="00964C4A" w:rsidP="0005432F">
            <w:pPr>
              <w:jc w:val="center"/>
            </w:pPr>
            <w:r>
              <w:rPr>
                <w:rFonts w:hint="eastAsia"/>
              </w:rPr>
              <w:t>2</w:t>
            </w:r>
            <w:r>
              <w:t>.58</w:t>
            </w:r>
          </w:p>
          <w:p w14:paraId="060E1317" w14:textId="77777777" w:rsidR="00964C4A" w:rsidRDefault="00964C4A" w:rsidP="0005432F">
            <w:pPr>
              <w:jc w:val="center"/>
            </w:pPr>
            <w:r>
              <w:rPr>
                <w:rFonts w:hint="eastAsia"/>
              </w:rPr>
              <w:t>(</w:t>
            </w:r>
            <w:r>
              <w:t>1.71-3.88)</w:t>
            </w:r>
          </w:p>
        </w:tc>
        <w:tc>
          <w:tcPr>
            <w:tcW w:w="915" w:type="pct"/>
          </w:tcPr>
          <w:p w14:paraId="64FF0078" w14:textId="77777777" w:rsidR="00964C4A" w:rsidRDefault="00964C4A" w:rsidP="0005432F">
            <w:pPr>
              <w:jc w:val="center"/>
            </w:pPr>
            <w:r>
              <w:rPr>
                <w:rFonts w:hint="eastAsia"/>
              </w:rPr>
              <w:t>1</w:t>
            </w:r>
            <w:r>
              <w:t>.41</w:t>
            </w:r>
          </w:p>
          <w:p w14:paraId="25C1E563" w14:textId="77777777" w:rsidR="00964C4A" w:rsidRDefault="00964C4A" w:rsidP="0005432F">
            <w:pPr>
              <w:jc w:val="center"/>
            </w:pPr>
            <w:r>
              <w:t>(0.76-2.60)</w:t>
            </w:r>
          </w:p>
        </w:tc>
        <w:tc>
          <w:tcPr>
            <w:tcW w:w="999" w:type="pct"/>
          </w:tcPr>
          <w:p w14:paraId="1A89BD71" w14:textId="77777777" w:rsidR="00964C4A" w:rsidRDefault="00964C4A" w:rsidP="0005432F">
            <w:pPr>
              <w:jc w:val="center"/>
            </w:pPr>
            <w:r>
              <w:rPr>
                <w:rFonts w:hint="eastAsia"/>
              </w:rPr>
              <w:t>3</w:t>
            </w:r>
            <w:r>
              <w:t>.06</w:t>
            </w:r>
          </w:p>
          <w:p w14:paraId="31354D8D" w14:textId="77777777" w:rsidR="00964C4A" w:rsidRDefault="00964C4A" w:rsidP="0005432F">
            <w:pPr>
              <w:jc w:val="center"/>
            </w:pPr>
            <w:r>
              <w:t>(1.93-4.85)</w:t>
            </w:r>
          </w:p>
        </w:tc>
      </w:tr>
      <w:tr w:rsidR="00964C4A" w14:paraId="5ECE4FC9" w14:textId="77777777" w:rsidTr="0005432F">
        <w:tc>
          <w:tcPr>
            <w:tcW w:w="1001" w:type="pct"/>
          </w:tcPr>
          <w:p w14:paraId="6F95AFEA" w14:textId="77777777" w:rsidR="00964C4A" w:rsidRPr="00D157A0" w:rsidRDefault="00964C4A" w:rsidP="0005432F">
            <w:pPr>
              <w:spacing w:line="480" w:lineRule="auto"/>
              <w:jc w:val="center"/>
              <w:rPr>
                <w:i/>
                <w:vertAlign w:val="superscript"/>
              </w:rPr>
            </w:pPr>
            <w:r>
              <w:t>MAKE 30</w:t>
            </w:r>
            <w:r>
              <w:rPr>
                <w:i/>
                <w:vertAlign w:val="superscript"/>
              </w:rPr>
              <w:t>c</w:t>
            </w:r>
          </w:p>
        </w:tc>
        <w:tc>
          <w:tcPr>
            <w:tcW w:w="918" w:type="pct"/>
          </w:tcPr>
          <w:p w14:paraId="5C8AA2B6" w14:textId="77777777" w:rsidR="00964C4A" w:rsidRDefault="00964C4A" w:rsidP="0005432F">
            <w:pPr>
              <w:jc w:val="center"/>
            </w:pPr>
            <w:r>
              <w:rPr>
                <w:rFonts w:hint="eastAsia"/>
              </w:rPr>
              <w:t>2</w:t>
            </w:r>
            <w:r>
              <w:t>.02</w:t>
            </w:r>
          </w:p>
          <w:p w14:paraId="4D90FFF3" w14:textId="77777777" w:rsidR="00964C4A" w:rsidRDefault="00964C4A" w:rsidP="0005432F">
            <w:pPr>
              <w:jc w:val="center"/>
            </w:pPr>
            <w:r>
              <w:t>(1.15-3.59)</w:t>
            </w:r>
          </w:p>
        </w:tc>
        <w:tc>
          <w:tcPr>
            <w:tcW w:w="1167" w:type="pct"/>
            <w:gridSpan w:val="2"/>
          </w:tcPr>
          <w:p w14:paraId="4EB7F354" w14:textId="77777777" w:rsidR="00964C4A" w:rsidRDefault="00964C4A" w:rsidP="0005432F">
            <w:pPr>
              <w:jc w:val="center"/>
            </w:pPr>
            <w:r>
              <w:rPr>
                <w:rFonts w:hint="eastAsia"/>
              </w:rPr>
              <w:t>2</w:t>
            </w:r>
            <w:r>
              <w:t>3.94</w:t>
            </w:r>
          </w:p>
          <w:p w14:paraId="01FEC67F" w14:textId="77777777" w:rsidR="00964C4A" w:rsidRDefault="00964C4A" w:rsidP="0005432F">
            <w:pPr>
              <w:jc w:val="center"/>
            </w:pPr>
            <w:r>
              <w:t>(14.80-38.71)</w:t>
            </w:r>
          </w:p>
        </w:tc>
        <w:tc>
          <w:tcPr>
            <w:tcW w:w="915" w:type="pct"/>
          </w:tcPr>
          <w:p w14:paraId="2611959C" w14:textId="77777777" w:rsidR="00964C4A" w:rsidRDefault="00964C4A" w:rsidP="0005432F">
            <w:pPr>
              <w:jc w:val="center"/>
            </w:pPr>
            <w:r>
              <w:rPr>
                <w:rFonts w:hint="eastAsia"/>
              </w:rPr>
              <w:t>2</w:t>
            </w:r>
            <w:r>
              <w:t>.50</w:t>
            </w:r>
          </w:p>
          <w:p w14:paraId="0BA5403E" w14:textId="77777777" w:rsidR="00964C4A" w:rsidRDefault="00964C4A" w:rsidP="0005432F">
            <w:pPr>
              <w:jc w:val="center"/>
            </w:pPr>
            <w:r>
              <w:t>(1.59-3.94)</w:t>
            </w:r>
          </w:p>
        </w:tc>
        <w:tc>
          <w:tcPr>
            <w:tcW w:w="999" w:type="pct"/>
          </w:tcPr>
          <w:p w14:paraId="5D9E4856" w14:textId="77777777" w:rsidR="00964C4A" w:rsidRDefault="00964C4A" w:rsidP="0005432F">
            <w:pPr>
              <w:jc w:val="center"/>
            </w:pPr>
            <w:r>
              <w:rPr>
                <w:rFonts w:hint="eastAsia"/>
              </w:rPr>
              <w:t>3</w:t>
            </w:r>
            <w:r>
              <w:t>8.72</w:t>
            </w:r>
          </w:p>
          <w:p w14:paraId="1C4A05D4" w14:textId="77777777" w:rsidR="00964C4A" w:rsidRDefault="00964C4A" w:rsidP="0005432F">
            <w:pPr>
              <w:jc w:val="center"/>
            </w:pPr>
            <w:r>
              <w:t>(26.61-56.33)</w:t>
            </w:r>
          </w:p>
        </w:tc>
      </w:tr>
      <w:tr w:rsidR="00964C4A" w14:paraId="0C2B059F" w14:textId="77777777" w:rsidTr="0005432F">
        <w:trPr>
          <w:trHeight w:val="454"/>
        </w:trPr>
        <w:tc>
          <w:tcPr>
            <w:tcW w:w="5000" w:type="pct"/>
            <w:gridSpan w:val="6"/>
          </w:tcPr>
          <w:p w14:paraId="2BD7AD95" w14:textId="77777777" w:rsidR="00964C4A" w:rsidRPr="00465F7E" w:rsidRDefault="00964C4A" w:rsidP="0005432F">
            <w:pPr>
              <w:tabs>
                <w:tab w:val="left" w:pos="2670"/>
                <w:tab w:val="center" w:pos="4142"/>
              </w:tabs>
              <w:jc w:val="left"/>
              <w:rPr>
                <w:b/>
              </w:rPr>
            </w:pPr>
            <w:r w:rsidRPr="00465F7E">
              <w:rPr>
                <w:rFonts w:hint="eastAsia"/>
                <w:b/>
              </w:rPr>
              <w:t>O</w:t>
            </w:r>
            <w:r w:rsidRPr="00465F7E">
              <w:rPr>
                <w:b/>
              </w:rPr>
              <w:t>ne-year adverse outcomes</w:t>
            </w:r>
          </w:p>
        </w:tc>
      </w:tr>
      <w:tr w:rsidR="00964C4A" w14:paraId="315F6511" w14:textId="77777777" w:rsidTr="0005432F">
        <w:tc>
          <w:tcPr>
            <w:tcW w:w="1001" w:type="pct"/>
          </w:tcPr>
          <w:p w14:paraId="69836C17" w14:textId="77777777" w:rsidR="00964C4A" w:rsidRDefault="00964C4A" w:rsidP="0005432F">
            <w:pPr>
              <w:jc w:val="center"/>
            </w:pPr>
            <w:r>
              <w:rPr>
                <w:rFonts w:hint="eastAsia"/>
              </w:rPr>
              <w:t>C</w:t>
            </w:r>
            <w:r>
              <w:t>hronic dialysis</w:t>
            </w:r>
            <w:r>
              <w:rPr>
                <w:i/>
                <w:vertAlign w:val="superscript"/>
              </w:rPr>
              <w:t>c</w:t>
            </w:r>
          </w:p>
        </w:tc>
        <w:tc>
          <w:tcPr>
            <w:tcW w:w="918" w:type="pct"/>
          </w:tcPr>
          <w:p w14:paraId="71D6AB8F" w14:textId="77777777" w:rsidR="00964C4A" w:rsidRPr="00D76281" w:rsidRDefault="00964C4A" w:rsidP="0005432F">
            <w:pPr>
              <w:ind w:firstLineChars="200" w:firstLine="480"/>
              <w:rPr>
                <w:i/>
                <w:vertAlign w:val="superscript"/>
              </w:rPr>
            </w:pPr>
            <w:r w:rsidRPr="00D0470D">
              <w:rPr>
                <w:rFonts w:ascii="等线" w:eastAsia="等线" w:hAnsi="等线" w:hint="eastAsia"/>
              </w:rPr>
              <w:t>—</w:t>
            </w:r>
            <w:r>
              <w:rPr>
                <w:i/>
                <w:vertAlign w:val="superscript"/>
              </w:rPr>
              <w:t>e</w:t>
            </w:r>
          </w:p>
        </w:tc>
        <w:tc>
          <w:tcPr>
            <w:tcW w:w="1167" w:type="pct"/>
            <w:gridSpan w:val="2"/>
          </w:tcPr>
          <w:p w14:paraId="53807ACB" w14:textId="77777777" w:rsidR="00964C4A" w:rsidRPr="00D76281" w:rsidRDefault="00964C4A" w:rsidP="0005432F">
            <w:pPr>
              <w:ind w:firstLineChars="250" w:firstLine="600"/>
              <w:rPr>
                <w:i/>
                <w:vertAlign w:val="superscript"/>
              </w:rPr>
            </w:pPr>
            <w:r w:rsidRPr="00D0470D">
              <w:rPr>
                <w:rFonts w:ascii="等线" w:eastAsia="等线" w:hAnsi="等线" w:hint="eastAsia"/>
              </w:rPr>
              <w:t>—</w:t>
            </w:r>
            <w:r>
              <w:rPr>
                <w:i/>
                <w:vertAlign w:val="superscript"/>
              </w:rPr>
              <w:t>e</w:t>
            </w:r>
          </w:p>
        </w:tc>
        <w:tc>
          <w:tcPr>
            <w:tcW w:w="915" w:type="pct"/>
          </w:tcPr>
          <w:p w14:paraId="02F3A2AE" w14:textId="77777777" w:rsidR="00964C4A" w:rsidRDefault="00964C4A" w:rsidP="0005432F">
            <w:pPr>
              <w:jc w:val="center"/>
            </w:pPr>
            <w:r>
              <w:rPr>
                <w:rFonts w:hint="eastAsia"/>
              </w:rPr>
              <w:t>0</w:t>
            </w:r>
            <w:r>
              <w:t>.45</w:t>
            </w:r>
          </w:p>
          <w:p w14:paraId="57B49406" w14:textId="77777777" w:rsidR="00964C4A" w:rsidRDefault="00964C4A" w:rsidP="0005432F">
            <w:pPr>
              <w:jc w:val="center"/>
            </w:pPr>
            <w:r>
              <w:t>(0.045-4.46)</w:t>
            </w:r>
          </w:p>
        </w:tc>
        <w:tc>
          <w:tcPr>
            <w:tcW w:w="999" w:type="pct"/>
          </w:tcPr>
          <w:p w14:paraId="459F8778" w14:textId="77777777" w:rsidR="00964C4A" w:rsidRDefault="00964C4A" w:rsidP="0005432F">
            <w:pPr>
              <w:jc w:val="center"/>
            </w:pPr>
            <w:r>
              <w:rPr>
                <w:rFonts w:hint="eastAsia"/>
              </w:rPr>
              <w:t>1</w:t>
            </w:r>
            <w:r>
              <w:t>2.21</w:t>
            </w:r>
          </w:p>
          <w:p w14:paraId="141CD68C" w14:textId="77777777" w:rsidR="00964C4A" w:rsidRDefault="00964C4A" w:rsidP="0005432F">
            <w:pPr>
              <w:ind w:firstLineChars="50" w:firstLine="120"/>
              <w:jc w:val="center"/>
            </w:pPr>
            <w:r>
              <w:t>(3.32-44.86)</w:t>
            </w:r>
          </w:p>
        </w:tc>
      </w:tr>
      <w:tr w:rsidR="00964C4A" w14:paraId="34042854" w14:textId="77777777" w:rsidTr="0005432F">
        <w:tc>
          <w:tcPr>
            <w:tcW w:w="1001" w:type="pct"/>
          </w:tcPr>
          <w:p w14:paraId="33B51D76" w14:textId="77777777" w:rsidR="00964C4A" w:rsidRPr="001E63A0" w:rsidRDefault="00964C4A" w:rsidP="0005432F">
            <w:pPr>
              <w:spacing w:line="480" w:lineRule="auto"/>
              <w:jc w:val="center"/>
              <w:rPr>
                <w:i/>
                <w:vertAlign w:val="superscript"/>
              </w:rPr>
            </w:pPr>
            <w:r>
              <w:t>Mortality</w:t>
            </w:r>
            <w:r>
              <w:rPr>
                <w:i/>
                <w:vertAlign w:val="superscript"/>
              </w:rPr>
              <w:t>d</w:t>
            </w:r>
          </w:p>
        </w:tc>
        <w:tc>
          <w:tcPr>
            <w:tcW w:w="918" w:type="pct"/>
          </w:tcPr>
          <w:p w14:paraId="4637FB01" w14:textId="77777777" w:rsidR="00964C4A" w:rsidRDefault="00964C4A" w:rsidP="0005432F">
            <w:pPr>
              <w:jc w:val="center"/>
            </w:pPr>
            <w:r>
              <w:rPr>
                <w:rFonts w:hint="eastAsia"/>
              </w:rPr>
              <w:t>1</w:t>
            </w:r>
            <w:r>
              <w:t>.42</w:t>
            </w:r>
          </w:p>
          <w:p w14:paraId="6CA5259C" w14:textId="77777777" w:rsidR="00964C4A" w:rsidRDefault="00964C4A" w:rsidP="0005432F">
            <w:pPr>
              <w:jc w:val="center"/>
            </w:pPr>
            <w:r>
              <w:t>(0.92-2.18)</w:t>
            </w:r>
          </w:p>
        </w:tc>
        <w:tc>
          <w:tcPr>
            <w:tcW w:w="1167" w:type="pct"/>
            <w:gridSpan w:val="2"/>
          </w:tcPr>
          <w:p w14:paraId="16A0C01E" w14:textId="77777777" w:rsidR="00964C4A" w:rsidRDefault="00964C4A" w:rsidP="0005432F">
            <w:pPr>
              <w:jc w:val="center"/>
            </w:pPr>
            <w:r>
              <w:rPr>
                <w:rFonts w:hint="eastAsia"/>
              </w:rPr>
              <w:t>2</w:t>
            </w:r>
            <w:r>
              <w:t>.46</w:t>
            </w:r>
          </w:p>
          <w:p w14:paraId="2FF70ED9" w14:textId="77777777" w:rsidR="00964C4A" w:rsidRDefault="00964C4A" w:rsidP="0005432F">
            <w:pPr>
              <w:jc w:val="center"/>
            </w:pPr>
            <w:r>
              <w:t>(1.76-3.46)</w:t>
            </w:r>
          </w:p>
        </w:tc>
        <w:tc>
          <w:tcPr>
            <w:tcW w:w="915" w:type="pct"/>
          </w:tcPr>
          <w:p w14:paraId="34016D67" w14:textId="77777777" w:rsidR="00964C4A" w:rsidRDefault="00964C4A" w:rsidP="0005432F">
            <w:pPr>
              <w:jc w:val="center"/>
            </w:pPr>
            <w:r>
              <w:rPr>
                <w:rFonts w:hint="eastAsia"/>
              </w:rPr>
              <w:t>1</w:t>
            </w:r>
            <w:r>
              <w:t>.15</w:t>
            </w:r>
          </w:p>
          <w:p w14:paraId="35CEE8B4" w14:textId="77777777" w:rsidR="00964C4A" w:rsidRDefault="00964C4A" w:rsidP="0005432F">
            <w:pPr>
              <w:jc w:val="center"/>
            </w:pPr>
            <w:r>
              <w:t>(0.78-1.69)</w:t>
            </w:r>
          </w:p>
        </w:tc>
        <w:tc>
          <w:tcPr>
            <w:tcW w:w="999" w:type="pct"/>
          </w:tcPr>
          <w:p w14:paraId="5DC20486" w14:textId="77777777" w:rsidR="00964C4A" w:rsidRDefault="00964C4A" w:rsidP="0005432F">
            <w:pPr>
              <w:jc w:val="center"/>
            </w:pPr>
            <w:r>
              <w:rPr>
                <w:rFonts w:hint="eastAsia"/>
              </w:rPr>
              <w:t>2</w:t>
            </w:r>
            <w:r>
              <w:t>.07</w:t>
            </w:r>
          </w:p>
          <w:p w14:paraId="77347F4A" w14:textId="77777777" w:rsidR="00964C4A" w:rsidRDefault="00964C4A" w:rsidP="0005432F">
            <w:pPr>
              <w:jc w:val="center"/>
            </w:pPr>
            <w:r>
              <w:t>(1.54-2.78)</w:t>
            </w:r>
          </w:p>
        </w:tc>
      </w:tr>
      <w:tr w:rsidR="00964C4A" w14:paraId="1D502B3F" w14:textId="77777777" w:rsidTr="0005432F">
        <w:tc>
          <w:tcPr>
            <w:tcW w:w="1001" w:type="pct"/>
            <w:tcBorders>
              <w:bottom w:val="single" w:sz="4" w:space="0" w:color="auto"/>
            </w:tcBorders>
          </w:tcPr>
          <w:p w14:paraId="1E8BEE77" w14:textId="77777777" w:rsidR="00964C4A" w:rsidRDefault="00964C4A" w:rsidP="0005432F">
            <w:pPr>
              <w:jc w:val="center"/>
            </w:pPr>
            <w:r>
              <w:rPr>
                <w:rFonts w:hint="eastAsia"/>
              </w:rPr>
              <w:t>C</w:t>
            </w:r>
            <w:r>
              <w:t>hronic dialysis</w:t>
            </w:r>
          </w:p>
          <w:p w14:paraId="79481DCC" w14:textId="77777777" w:rsidR="00964C4A" w:rsidRDefault="00964C4A" w:rsidP="0005432F">
            <w:pPr>
              <w:jc w:val="center"/>
            </w:pPr>
            <w:r>
              <w:t>and mortality</w:t>
            </w:r>
            <w:r>
              <w:rPr>
                <w:i/>
                <w:vertAlign w:val="superscript"/>
              </w:rPr>
              <w:t>c</w:t>
            </w:r>
          </w:p>
        </w:tc>
        <w:tc>
          <w:tcPr>
            <w:tcW w:w="918" w:type="pct"/>
            <w:tcBorders>
              <w:bottom w:val="single" w:sz="4" w:space="0" w:color="auto"/>
            </w:tcBorders>
          </w:tcPr>
          <w:p w14:paraId="5EAC21C1" w14:textId="77777777" w:rsidR="00964C4A" w:rsidRDefault="00964C4A" w:rsidP="0005432F">
            <w:pPr>
              <w:jc w:val="center"/>
            </w:pPr>
          </w:p>
          <w:p w14:paraId="0C97D2B1" w14:textId="77777777" w:rsidR="00964C4A" w:rsidRDefault="00964C4A" w:rsidP="0005432F">
            <w:pPr>
              <w:jc w:val="center"/>
            </w:pPr>
            <w:r>
              <w:rPr>
                <w:rFonts w:hint="eastAsia"/>
              </w:rPr>
              <w:t>1</w:t>
            </w:r>
            <w:r>
              <w:t>.47</w:t>
            </w:r>
          </w:p>
          <w:p w14:paraId="377A8128" w14:textId="77777777" w:rsidR="00964C4A" w:rsidRDefault="00964C4A" w:rsidP="0005432F">
            <w:pPr>
              <w:jc w:val="center"/>
            </w:pPr>
            <w:r>
              <w:t>(0.86-2.49)</w:t>
            </w:r>
          </w:p>
        </w:tc>
        <w:tc>
          <w:tcPr>
            <w:tcW w:w="1167" w:type="pct"/>
            <w:gridSpan w:val="2"/>
            <w:tcBorders>
              <w:bottom w:val="single" w:sz="4" w:space="0" w:color="auto"/>
            </w:tcBorders>
          </w:tcPr>
          <w:p w14:paraId="71B99F7D" w14:textId="77777777" w:rsidR="00964C4A" w:rsidRDefault="00964C4A" w:rsidP="0005432F">
            <w:pPr>
              <w:jc w:val="center"/>
            </w:pPr>
          </w:p>
          <w:p w14:paraId="792874F2" w14:textId="77777777" w:rsidR="00964C4A" w:rsidRDefault="00964C4A" w:rsidP="0005432F">
            <w:pPr>
              <w:jc w:val="center"/>
            </w:pPr>
            <w:r>
              <w:rPr>
                <w:rFonts w:hint="eastAsia"/>
              </w:rPr>
              <w:t>3</w:t>
            </w:r>
            <w:r>
              <w:t>.31</w:t>
            </w:r>
          </w:p>
          <w:p w14:paraId="201B4F8B" w14:textId="77777777" w:rsidR="00964C4A" w:rsidRDefault="00964C4A" w:rsidP="0005432F">
            <w:pPr>
              <w:jc w:val="center"/>
            </w:pPr>
            <w:r>
              <w:t>(2.17-5.06)</w:t>
            </w:r>
          </w:p>
        </w:tc>
        <w:tc>
          <w:tcPr>
            <w:tcW w:w="915" w:type="pct"/>
            <w:tcBorders>
              <w:bottom w:val="single" w:sz="4" w:space="0" w:color="auto"/>
            </w:tcBorders>
          </w:tcPr>
          <w:p w14:paraId="52C74310" w14:textId="77777777" w:rsidR="00964C4A" w:rsidRDefault="00964C4A" w:rsidP="0005432F">
            <w:pPr>
              <w:jc w:val="center"/>
            </w:pPr>
          </w:p>
          <w:p w14:paraId="4164A629" w14:textId="77777777" w:rsidR="00964C4A" w:rsidRDefault="00964C4A" w:rsidP="0005432F">
            <w:pPr>
              <w:jc w:val="center"/>
            </w:pPr>
            <w:r>
              <w:rPr>
                <w:rFonts w:hint="eastAsia"/>
              </w:rPr>
              <w:t>1</w:t>
            </w:r>
            <w:r>
              <w:t>.08</w:t>
            </w:r>
          </w:p>
          <w:p w14:paraId="4D475B92" w14:textId="77777777" w:rsidR="00964C4A" w:rsidRDefault="00964C4A" w:rsidP="0005432F">
            <w:pPr>
              <w:jc w:val="center"/>
            </w:pPr>
            <w:r>
              <w:t>(0.70-1.65)</w:t>
            </w:r>
          </w:p>
        </w:tc>
        <w:tc>
          <w:tcPr>
            <w:tcW w:w="999" w:type="pct"/>
            <w:tcBorders>
              <w:bottom w:val="single" w:sz="4" w:space="0" w:color="auto"/>
            </w:tcBorders>
          </w:tcPr>
          <w:p w14:paraId="4590C05D" w14:textId="77777777" w:rsidR="00964C4A" w:rsidRDefault="00964C4A" w:rsidP="0005432F">
            <w:pPr>
              <w:jc w:val="center"/>
            </w:pPr>
          </w:p>
          <w:p w14:paraId="5D307ED5" w14:textId="77777777" w:rsidR="00964C4A" w:rsidRDefault="00964C4A" w:rsidP="0005432F">
            <w:pPr>
              <w:jc w:val="center"/>
            </w:pPr>
            <w:r>
              <w:rPr>
                <w:rFonts w:hint="eastAsia"/>
              </w:rPr>
              <w:t>2</w:t>
            </w:r>
            <w:r>
              <w:t>.65</w:t>
            </w:r>
          </w:p>
          <w:p w14:paraId="287EA36C" w14:textId="77777777" w:rsidR="00964C4A" w:rsidRDefault="00964C4A" w:rsidP="0005432F">
            <w:pPr>
              <w:jc w:val="center"/>
            </w:pPr>
            <w:r>
              <w:t>(1.90-3.69)</w:t>
            </w:r>
          </w:p>
        </w:tc>
      </w:tr>
    </w:tbl>
    <w:p w14:paraId="2797CE87" w14:textId="77777777" w:rsidR="00964C4A" w:rsidRDefault="00964C4A" w:rsidP="00964C4A">
      <w:pPr>
        <w:spacing w:line="480" w:lineRule="auto"/>
      </w:pPr>
      <w:r>
        <w:t>AKD: acute kidney disease; PRD</w:t>
      </w:r>
      <w:r>
        <w:rPr>
          <w:rFonts w:hint="eastAsia"/>
        </w:rPr>
        <w:t>:</w:t>
      </w:r>
      <w:r>
        <w:t xml:space="preserve"> p</w:t>
      </w:r>
      <w:r w:rsidRPr="006F5AE0">
        <w:t>ersistent renal dysfunction</w:t>
      </w:r>
      <w:r>
        <w:t xml:space="preserve">; RRT, renal replacement therapy; MAKE 30, Major Adverse Kidney Events within 30 days. </w:t>
      </w:r>
    </w:p>
    <w:p w14:paraId="05DAE531" w14:textId="77777777" w:rsidR="00964C4A" w:rsidRDefault="00964C4A" w:rsidP="00964C4A">
      <w:pPr>
        <w:spacing w:line="480" w:lineRule="auto"/>
      </w:pPr>
      <w:r w:rsidRPr="004F7D75">
        <w:rPr>
          <w:i/>
          <w:vertAlign w:val="superscript"/>
        </w:rPr>
        <w:t>a</w:t>
      </w:r>
      <w:r>
        <w:t xml:space="preserve"> AKD stage 0 was considered as the reference group in multivariable regression analysis.</w:t>
      </w:r>
      <w:r w:rsidRPr="0051263F">
        <w:t xml:space="preserve"> </w:t>
      </w:r>
      <w:r w:rsidRPr="007A181E">
        <w:t>age, sex, hypertension, diabetes mellitus, cardiac infarction, congestive heart failure, chronic liver disease, chronic kidney disease, cerebrovascular disease, cancer, sepsis, organ failure, Charlson comorbidity index, anemia, proteinuria, hyperuricemia, hypoalbuminemia, cardiovascular surgery and mechanical ventilation</w:t>
      </w:r>
      <w:r>
        <w:t xml:space="preserve"> were added to the adjusted multivariable regression model.</w:t>
      </w:r>
    </w:p>
    <w:p w14:paraId="39973B9A" w14:textId="77777777" w:rsidR="00964C4A" w:rsidRPr="002E4EB4" w:rsidRDefault="00964C4A" w:rsidP="00964C4A">
      <w:pPr>
        <w:spacing w:line="480" w:lineRule="auto"/>
      </w:pPr>
      <w:r>
        <w:rPr>
          <w:rFonts w:hint="eastAsia"/>
          <w:i/>
          <w:vertAlign w:val="superscript"/>
        </w:rPr>
        <w:lastRenderedPageBreak/>
        <w:t>b</w:t>
      </w:r>
      <w:r>
        <w:rPr>
          <w:i/>
          <w:vertAlign w:val="superscript"/>
        </w:rPr>
        <w:t xml:space="preserve"> </w:t>
      </w:r>
      <w:r>
        <w:t>AKD stage 0 was considered as the reference group in multivariable regression analysis. Mechanical ventilation was not added into the multivariable regression models compared with that in the critically ill patients.</w:t>
      </w:r>
    </w:p>
    <w:p w14:paraId="79D662A0" w14:textId="77777777" w:rsidR="00964C4A" w:rsidRDefault="00964C4A" w:rsidP="00964C4A">
      <w:pPr>
        <w:spacing w:line="480" w:lineRule="auto"/>
      </w:pPr>
      <w:r>
        <w:rPr>
          <w:i/>
          <w:vertAlign w:val="superscript"/>
        </w:rPr>
        <w:t>c</w:t>
      </w:r>
      <w:r>
        <w:rPr>
          <w:i/>
        </w:rPr>
        <w:t xml:space="preserve"> </w:t>
      </w:r>
      <w:r>
        <w:t>Multivariable logistic regression analysis was performed.</w:t>
      </w:r>
    </w:p>
    <w:p w14:paraId="3092929B" w14:textId="77777777" w:rsidR="00964C4A" w:rsidRDefault="00964C4A" w:rsidP="00964C4A">
      <w:pPr>
        <w:spacing w:line="480" w:lineRule="auto"/>
      </w:pPr>
      <w:r>
        <w:rPr>
          <w:i/>
          <w:vertAlign w:val="superscript"/>
        </w:rPr>
        <w:t>d</w:t>
      </w:r>
      <w:r>
        <w:rPr>
          <w:i/>
        </w:rPr>
        <w:t xml:space="preserve"> </w:t>
      </w:r>
      <w:r w:rsidRPr="007A181E">
        <w:t xml:space="preserve">Multivariable </w:t>
      </w:r>
      <w:r>
        <w:t xml:space="preserve">Cox </w:t>
      </w:r>
      <w:r w:rsidRPr="007A181E">
        <w:t>regression analysis was performed</w:t>
      </w:r>
      <w:r>
        <w:t>.</w:t>
      </w:r>
    </w:p>
    <w:p w14:paraId="020F0F2B" w14:textId="77777777" w:rsidR="00964C4A" w:rsidRPr="00D76281" w:rsidRDefault="00964C4A" w:rsidP="00964C4A">
      <w:pPr>
        <w:spacing w:line="480" w:lineRule="auto"/>
      </w:pPr>
      <w:r>
        <w:rPr>
          <w:rFonts w:hint="eastAsia"/>
          <w:vertAlign w:val="superscript"/>
        </w:rPr>
        <w:t>e</w:t>
      </w:r>
      <w:r>
        <w:t xml:space="preserve"> Data were not available due to the small number of endpoints events.</w:t>
      </w:r>
    </w:p>
    <w:p w14:paraId="16C58358" w14:textId="77777777" w:rsidR="00964C4A" w:rsidRPr="00D76281" w:rsidRDefault="00964C4A" w:rsidP="00964C4A">
      <w:pPr>
        <w:tabs>
          <w:tab w:val="left" w:pos="5430"/>
        </w:tabs>
        <w:spacing w:line="480" w:lineRule="auto"/>
      </w:pPr>
      <w:r>
        <w:tab/>
      </w:r>
    </w:p>
    <w:p w14:paraId="324C8C95" w14:textId="77777777" w:rsidR="00964C4A" w:rsidRDefault="00964C4A" w:rsidP="00964C4A"/>
    <w:p w14:paraId="3DB9F0CB" w14:textId="77777777" w:rsidR="00964C4A" w:rsidRDefault="00964C4A" w:rsidP="00964C4A"/>
    <w:p w14:paraId="21576C39" w14:textId="77777777" w:rsidR="00964C4A" w:rsidRPr="00E92AA1" w:rsidRDefault="00964C4A" w:rsidP="00964C4A">
      <w:r>
        <w:fldChar w:fldCharType="begin"/>
      </w:r>
      <w:r>
        <w:instrText xml:space="preserve"> ADDIN EN.REFLIST </w:instrText>
      </w:r>
      <w:r>
        <w:fldChar w:fldCharType="end"/>
      </w:r>
    </w:p>
    <w:p w14:paraId="09913C02" w14:textId="77777777" w:rsidR="00135499" w:rsidRPr="00964C4A" w:rsidRDefault="00AD4D96"/>
    <w:sectPr w:rsidR="00135499" w:rsidRPr="00964C4A" w:rsidSect="00D82A18">
      <w:pgSz w:w="12240" w:h="15840" w:code="1"/>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7EE1F" w14:textId="77777777" w:rsidR="00AD4D96" w:rsidRDefault="00AD4D96" w:rsidP="00D82A18">
      <w:r>
        <w:separator/>
      </w:r>
    </w:p>
  </w:endnote>
  <w:endnote w:type="continuationSeparator" w:id="0">
    <w:p w14:paraId="769E2C37" w14:textId="77777777" w:rsidR="00AD4D96" w:rsidRDefault="00AD4D96" w:rsidP="00D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FB19" w14:textId="77777777" w:rsidR="00AD4D96" w:rsidRDefault="00AD4D96" w:rsidP="00D82A18">
      <w:r>
        <w:separator/>
      </w:r>
    </w:p>
  </w:footnote>
  <w:footnote w:type="continuationSeparator" w:id="0">
    <w:p w14:paraId="4CC287DB" w14:textId="77777777" w:rsidR="00AD4D96" w:rsidRDefault="00AD4D96" w:rsidP="00D8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4A"/>
    <w:rsid w:val="0029150A"/>
    <w:rsid w:val="002C0C90"/>
    <w:rsid w:val="004B7D90"/>
    <w:rsid w:val="006004CB"/>
    <w:rsid w:val="00787095"/>
    <w:rsid w:val="007B57DF"/>
    <w:rsid w:val="00964C4A"/>
    <w:rsid w:val="00A223B9"/>
    <w:rsid w:val="00AD4D96"/>
    <w:rsid w:val="00B2325C"/>
    <w:rsid w:val="00B44272"/>
    <w:rsid w:val="00D82A18"/>
    <w:rsid w:val="00F65FDC"/>
    <w:rsid w:val="00FD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7C71"/>
  <w15:chartTrackingRefBased/>
  <w15:docId w15:val="{8AB575DD-CCA5-44D8-BC28-AADD92F1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4A"/>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C4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A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2A18"/>
    <w:rPr>
      <w:rFonts w:ascii="Times New Roman" w:eastAsia="宋体" w:hAnsi="Times New Roman" w:cs="Times New Roman"/>
      <w:kern w:val="0"/>
      <w:sz w:val="18"/>
      <w:szCs w:val="18"/>
    </w:rPr>
  </w:style>
  <w:style w:type="paragraph" w:styleId="a6">
    <w:name w:val="footer"/>
    <w:basedOn w:val="a"/>
    <w:link w:val="a7"/>
    <w:uiPriority w:val="99"/>
    <w:unhideWhenUsed/>
    <w:rsid w:val="00D82A18"/>
    <w:pPr>
      <w:tabs>
        <w:tab w:val="center" w:pos="4153"/>
        <w:tab w:val="right" w:pos="8306"/>
      </w:tabs>
      <w:snapToGrid w:val="0"/>
      <w:jc w:val="left"/>
    </w:pPr>
    <w:rPr>
      <w:sz w:val="18"/>
      <w:szCs w:val="18"/>
    </w:rPr>
  </w:style>
  <w:style w:type="character" w:customStyle="1" w:styleId="a7">
    <w:name w:val="页脚 字符"/>
    <w:basedOn w:val="a0"/>
    <w:link w:val="a6"/>
    <w:uiPriority w:val="99"/>
    <w:rsid w:val="00D82A18"/>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 萍</dc:creator>
  <cp:keywords/>
  <dc:description/>
  <cp:lastModifiedBy>晏 萍</cp:lastModifiedBy>
  <cp:revision>8</cp:revision>
  <dcterms:created xsi:type="dcterms:W3CDTF">2020-11-12T03:13:00Z</dcterms:created>
  <dcterms:modified xsi:type="dcterms:W3CDTF">2021-03-14T04:05:00Z</dcterms:modified>
</cp:coreProperties>
</file>