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Times New Roman" w:hAnsi="Times New Roman" w:eastAsia="Calibri" w:cs="Times New Roman"/>
          <w:b/>
          <w:bCs/>
          <w:kern w:val="0"/>
          <w:sz w:val="24"/>
          <w:lang w:val="en-US" w:eastAsia="zh-CN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lang w:val="en-US" w:eastAsia="zh-CN"/>
        </w:rPr>
        <w:t>Table S1</w:t>
      </w:r>
      <w:r>
        <w:rPr>
          <w:rFonts w:hint="eastAsia" w:ascii="Times New Roman" w:hAnsi="Times New Roman" w:eastAsia="Calibri" w:cs="Times New Roman"/>
          <w:b/>
          <w:bCs/>
          <w:kern w:val="0"/>
          <w:sz w:val="24"/>
          <w:lang w:val="en-US" w:eastAsia="zh-CN"/>
        </w:rPr>
        <w:t>:</w:t>
      </w:r>
    </w:p>
    <w:p>
      <w:pPr>
        <w:widowControl/>
        <w:spacing w:line="240" w:lineRule="auto"/>
        <w:jc w:val="left"/>
        <w:rPr>
          <w:rFonts w:hint="default" w:ascii="Times New Roman" w:hAnsi="Times New Roman" w:eastAsia="Calibri" w:cs="Times New Roman"/>
          <w:b/>
          <w:bCs/>
          <w:kern w:val="0"/>
          <w:sz w:val="24"/>
          <w:lang w:val="en-US" w:eastAsia="zh-CN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lang w:val="en-US" w:eastAsia="zh-CN"/>
        </w:rPr>
        <w:t xml:space="preserve"> Comp</w:t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lang w:val="en-US" w:eastAsia="zh-CN"/>
        </w:rPr>
        <w:t xml:space="preserve">arison of consistency between </w:t>
      </w:r>
      <w:r>
        <w:rPr>
          <w:rFonts w:hint="eastAsia" w:ascii="Times New Roman" w:hAnsi="Times New Roman" w:eastAsia="Calibri" w:cs="Times New Roman"/>
          <w:b/>
          <w:bCs/>
          <w:kern w:val="0"/>
          <w:sz w:val="24"/>
          <w:lang w:val="en-US" w:eastAsia="zh-CN"/>
        </w:rPr>
        <w:t>IHC</w:t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lang w:val="en-US" w:eastAsia="zh-CN"/>
        </w:rPr>
        <w:t xml:space="preserve"> and </w:t>
      </w:r>
      <w:r>
        <w:rPr>
          <w:rFonts w:hint="eastAsia" w:ascii="Times New Roman" w:hAnsi="Times New Roman" w:eastAsia="Calibri" w:cs="Times New Roman"/>
          <w:b/>
          <w:bCs/>
          <w:kern w:val="0"/>
          <w:sz w:val="24"/>
          <w:lang w:val="en-US" w:eastAsia="zh-CN"/>
        </w:rPr>
        <w:t>PCR</w:t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Calibri" w:cs="Times New Roman"/>
          <w:b/>
          <w:bCs/>
          <w:kern w:val="0"/>
          <w:sz w:val="24"/>
          <w:lang w:val="en-US" w:eastAsia="zh-CN"/>
        </w:rPr>
        <w:t>analysis of MSI (N=50)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6" w:space="0"/>
          <w:bottom w:val="single" w:color="auto" w:sz="4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61"/>
        <w:gridCol w:w="1901"/>
        <w:gridCol w:w="1901"/>
        <w:gridCol w:w="1659"/>
      </w:tblGrid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80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PCR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59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GuardianTextEgypGR-Regular" w:hAnsi="GuardianTextEgypGR-Regular" w:eastAsia="GuardianTextEgypGR-Regular" w:cs="GuardianTextEgypGR-Regular"/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MSS/MSI-L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MSI-H</w:t>
            </w:r>
          </w:p>
        </w:tc>
        <w:tc>
          <w:tcPr>
            <w:tcW w:w="1659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GuardianTextEgypGR-Regular" w:hAnsi="GuardianTextEgypGR-Regular" w:eastAsia="GuardianTextEgypGR-Regular" w:cs="GuardianTextEgypGR-Regular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IHC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MSS</w:t>
            </w:r>
          </w:p>
        </w:tc>
        <w:tc>
          <w:tcPr>
            <w:tcW w:w="190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0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GuardianTextEgypGR-Regular" w:hAnsi="GuardianTextEgypGR-Regular" w:eastAsia="GuardianTextEgypGR-Regular" w:cs="GuardianTextEgypGR-Regular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MSI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Times New Roman" w:hAnsi="Times New Roman" w:eastAsia="Calibri"/>
          <w:sz w:val="24"/>
          <w:lang w:val="en-US" w:eastAsia="zh-CN"/>
        </w:rPr>
      </w:pPr>
      <w:r>
        <w:rPr>
          <w:rFonts w:ascii="Times New Roman" w:hAnsi="Times New Roman" w:eastAsia="Calibri"/>
          <w:sz w:val="24"/>
          <w:lang w:eastAsia="zh-CN"/>
        </w:rPr>
        <w:t>MSI: Microsatellite instability;</w:t>
      </w:r>
      <w:r>
        <w:rPr>
          <w:rFonts w:hint="eastAsia" w:ascii="Times New Roman" w:hAnsi="Times New Roman" w:eastAsia="Calibri"/>
          <w:sz w:val="24"/>
          <w:lang w:val="en-US" w:eastAsia="zh-CN"/>
        </w:rPr>
        <w:t xml:space="preserve"> MSI-L: </w:t>
      </w:r>
      <w:r>
        <w:rPr>
          <w:rFonts w:ascii="Times New Roman" w:hAnsi="Times New Roman" w:eastAsia="Calibri"/>
          <w:sz w:val="24"/>
          <w:lang w:eastAsia="zh-CN"/>
        </w:rPr>
        <w:t>Microsatellite instability</w:t>
      </w:r>
      <w:r>
        <w:rPr>
          <w:rFonts w:hint="eastAsia" w:ascii="Times New Roman" w:hAnsi="Times New Roman" w:eastAsia="Calibri"/>
          <w:sz w:val="24"/>
          <w:lang w:val="en-US" w:eastAsia="zh-CN"/>
        </w:rPr>
        <w:t xml:space="preserve">-low; MSI-H: </w:t>
      </w:r>
      <w:r>
        <w:rPr>
          <w:rFonts w:ascii="Times New Roman" w:hAnsi="Times New Roman" w:eastAsia="Calibri"/>
          <w:sz w:val="24"/>
          <w:lang w:eastAsia="zh-CN"/>
        </w:rPr>
        <w:t>Microsatellite instability</w:t>
      </w:r>
      <w:r>
        <w:rPr>
          <w:rFonts w:hint="eastAsia" w:ascii="Times New Roman" w:hAnsi="Times New Roman" w:eastAsia="Calibri"/>
          <w:sz w:val="24"/>
          <w:lang w:val="en-US" w:eastAsia="zh-CN"/>
        </w:rPr>
        <w:t xml:space="preserve">-high; </w:t>
      </w:r>
      <w:bookmarkStart w:id="0" w:name="_GoBack"/>
      <w:bookmarkEnd w:id="0"/>
      <w:r>
        <w:rPr>
          <w:rFonts w:ascii="Times New Roman" w:hAnsi="Times New Roman" w:eastAsia="Calibri"/>
          <w:sz w:val="24"/>
          <w:lang w:eastAsia="zh-CN"/>
        </w:rPr>
        <w:t>MSS: microsatellite stable</w:t>
      </w:r>
      <w:r>
        <w:rPr>
          <w:rFonts w:hint="eastAsia" w:ascii="Times New Roman" w:hAnsi="Times New Roman" w:eastAsia="Calibri"/>
          <w:sz w:val="24"/>
          <w:lang w:val="en-US" w:eastAsia="zh-CN"/>
        </w:rPr>
        <w:t>.</w:t>
      </w:r>
    </w:p>
    <w:p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GuardianTextEgypGR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0050"/>
    <w:rsid w:val="1483634F"/>
    <w:rsid w:val="19925ED1"/>
    <w:rsid w:val="1C863E73"/>
    <w:rsid w:val="43656E26"/>
    <w:rsid w:val="44442E02"/>
    <w:rsid w:val="46BF2EB8"/>
    <w:rsid w:val="4D7F3CC9"/>
    <w:rsid w:val="5B533143"/>
    <w:rsid w:val="60C6120D"/>
    <w:rsid w:val="6FF47193"/>
    <w:rsid w:val="7FF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GuardianTextEgypGR-Regular" w:hAnsi="GuardianTextEgypGR-Regular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GuardianTextEgypGR-Regular" w:hAnsi="GuardianTextEgypGR-Regular" w:eastAsia="GuardianTextEgypGR-Regular" w:cs="GuardianTextEgypGR-Regular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Cambria Math" w:hAnsi="Cambria Math" w:eastAsia="宋体" w:cs="Cambria Math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2021-03-29T13:23:28Z</dcterms:created>
  <dc:creator>NANA</dc:creator>
  <cp:lastModifiedBy>好菇凉光芒万丈</cp:lastModifiedBy>
  <dcterms:modified xsi:type="dcterms:W3CDTF">2021-03-29T15:48:35Z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C15726678AEA40BF8652D9BEE339730D</vt:lpwstr>
  </property>
</Properties>
</file>