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ascii="Times New Roman" w:hAnsi="Times New Roman" w:eastAsia="Calibri"/>
          <w:b/>
          <w:bCs/>
          <w:sz w:val="24"/>
          <w:lang w:eastAsia="zh-CN"/>
        </w:rPr>
      </w:pPr>
      <w:r>
        <w:rPr>
          <w:rFonts w:ascii="Times New Roman" w:hAnsi="Times New Roman" w:eastAsia="Calibri"/>
          <w:b/>
          <w:bCs/>
          <w:sz w:val="24"/>
          <w:lang w:eastAsia="zh-CN"/>
        </w:rPr>
        <w:t>Table S</w:t>
      </w:r>
      <w:r>
        <w:rPr>
          <w:rFonts w:hint="eastAsia" w:ascii="Times New Roman" w:hAnsi="Times New Roman" w:eastAsia="Calibri"/>
          <w:b/>
          <w:bCs/>
          <w:sz w:val="24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Calibri"/>
          <w:b/>
          <w:bCs/>
          <w:sz w:val="24"/>
          <w:lang w:eastAsia="zh-CN"/>
        </w:rPr>
        <w:t>:</w:t>
      </w:r>
    </w:p>
    <w:p>
      <w:pPr>
        <w:spacing w:line="240" w:lineRule="auto"/>
        <w:jc w:val="left"/>
        <w:rPr>
          <w:rFonts w:ascii="Times New Roman" w:hAnsi="Times New Roman" w:eastAsiaTheme="minorHAnsi"/>
          <w:b/>
          <w:bCs/>
          <w:i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/>
          <w:b/>
          <w:bCs/>
          <w:sz w:val="24"/>
          <w:lang w:eastAsia="zh-CN"/>
        </w:rPr>
        <w:t xml:space="preserve">Multivariate analyses of risk factors affecting overall survival (OS) in 224 gastric cancer </w:t>
      </w:r>
      <w:r>
        <w:rPr>
          <w:rFonts w:ascii="Times New Roman" w:hAnsi="Times New Roman" w:eastAsiaTheme="minorHAnsi"/>
          <w:b/>
          <w:bCs/>
          <w:i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patients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7"/>
        <w:gridCol w:w="2328"/>
        <w:gridCol w:w="1162"/>
        <w:gridCol w:w="1745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65" w:type="pc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Characteristics</w:t>
            </w:r>
          </w:p>
        </w:tc>
        <w:tc>
          <w:tcPr>
            <w:tcW w:w="1366" w:type="pc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  <w:tc>
          <w:tcPr>
            <w:tcW w:w="682" w:type="pc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HR</w:t>
            </w:r>
          </w:p>
        </w:tc>
        <w:tc>
          <w:tcPr>
            <w:tcW w:w="1024" w:type="pc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95%CI</w:t>
            </w:r>
          </w:p>
        </w:tc>
        <w:tc>
          <w:tcPr>
            <w:tcW w:w="563" w:type="pc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i/>
                <w:iCs/>
                <w:sz w:val="24"/>
                <w:lang w:eastAsia="zh-CN"/>
              </w:rPr>
              <w:t>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65" w:type="pct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 xml:space="preserve">Molecular subtypes </w:t>
            </w:r>
          </w:p>
        </w:tc>
        <w:tc>
          <w:tcPr>
            <w:tcW w:w="1366" w:type="pct"/>
            <w:tcBorders>
              <w:top w:val="single" w:color="000000" w:sz="8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Non MSS/EBV</w:t>
            </w:r>
            <w:r>
              <w:rPr>
                <w:rFonts w:ascii="Times New Roman" w:hAnsi="Times New Roman" w:eastAsia="Calibri"/>
                <w:sz w:val="24"/>
                <w:vertAlign w:val="superscript"/>
                <w:lang w:eastAsia="zh-CN"/>
              </w:rPr>
              <w:t>−</w:t>
            </w:r>
            <w:r>
              <w:rPr>
                <w:rFonts w:ascii="Times New Roman" w:hAnsi="Times New Roman" w:eastAsia="Calibri"/>
                <w:sz w:val="24"/>
                <w:lang w:eastAsia="zh-CN"/>
              </w:rPr>
              <w:t>(n=63)</w:t>
            </w:r>
          </w:p>
        </w:tc>
        <w:tc>
          <w:tcPr>
            <w:tcW w:w="682" w:type="pct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1.00</w:t>
            </w:r>
          </w:p>
        </w:tc>
        <w:tc>
          <w:tcPr>
            <w:tcW w:w="1024" w:type="pct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  <w:tc>
          <w:tcPr>
            <w:tcW w:w="563" w:type="pct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0.031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MSS/EBV</w:t>
            </w:r>
            <w:r>
              <w:rPr>
                <w:rFonts w:ascii="Times New Roman" w:hAnsi="Times New Roman" w:eastAsia="Calibri"/>
                <w:sz w:val="24"/>
                <w:vertAlign w:val="superscript"/>
                <w:lang w:eastAsia="zh-CN"/>
              </w:rPr>
              <w:t>−</w:t>
            </w:r>
            <w:r>
              <w:rPr>
                <w:rFonts w:ascii="Times New Roman" w:hAnsi="Times New Roman" w:eastAsia="Calibri"/>
                <w:sz w:val="24"/>
                <w:lang w:eastAsia="zh-CN"/>
              </w:rPr>
              <w:t>(n=161)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1.610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1.046-2.479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PD-L1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Negative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1.00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0.053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Positive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0.677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0.456-1.006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TNM stage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Ⅰ/Ⅱ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1.00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0.003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Ⅲ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2.274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1.330-3.887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Vascular invasion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Negative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1.00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0.007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65" w:type="pct"/>
            <w:tcBorders>
              <w:top w:val="nil"/>
              <w:left w:val="nil"/>
              <w:right w:val="nil"/>
            </w:tcBorders>
            <w:tcMar>
              <w:top w:w="13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  <w:tc>
          <w:tcPr>
            <w:tcW w:w="1366" w:type="pc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 xml:space="preserve">Positive </w:t>
            </w:r>
          </w:p>
        </w:tc>
        <w:tc>
          <w:tcPr>
            <w:tcW w:w="682" w:type="pct"/>
            <w:tcBorders>
              <w:top w:val="nil"/>
              <w:left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2.436</w:t>
            </w:r>
          </w:p>
        </w:tc>
        <w:tc>
          <w:tcPr>
            <w:tcW w:w="1024" w:type="pct"/>
            <w:tcBorders>
              <w:top w:val="nil"/>
              <w:left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1.271-4.671</w:t>
            </w:r>
          </w:p>
        </w:tc>
        <w:tc>
          <w:tcPr>
            <w:tcW w:w="563" w:type="pct"/>
            <w:tcBorders>
              <w:top w:val="nil"/>
              <w:left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65" w:type="pct"/>
            <w:tcBorders>
              <w:top w:val="nil"/>
              <w:left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CTx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No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1.00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&lt;0.001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65" w:type="pct"/>
            <w:tcBorders>
              <w:left w:val="nil"/>
              <w:bottom w:val="single" w:color="auto" w:sz="12" w:space="0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Yes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0.473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0.329-0.681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ascii="Times New Roman" w:hAnsi="Times New Roman" w:eastAsiaTheme="minorHAnsi"/>
          <w:sz w:val="24"/>
          <w:lang w:eastAsia="zh-CN"/>
        </w:rPr>
      </w:pPr>
      <w:r>
        <w:rPr>
          <w:rFonts w:ascii="Times New Roman" w:hAnsi="Times New Roman" w:eastAsiaTheme="minorHAnsi"/>
          <w:sz w:val="24"/>
          <w:lang w:eastAsia="zh-CN"/>
        </w:rPr>
        <w:t xml:space="preserve">MSS: microsatellite stable; EBV: Epstein-Barr Virus; PD-L1: programmed cell death ligand 1; CTx: Chemotherapy. HR: Hazard ratio; CI: Confidence interval.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ascii="Times New Roman" w:hAnsi="Times New Roman" w:eastAsiaTheme="minorHAnsi"/>
          <w:i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HAnsi"/>
          <w:sz w:val="24"/>
          <w:vertAlign w:val="superscript"/>
          <w:lang w:eastAsia="zh-CN"/>
        </w:rPr>
        <w:t>a</w:t>
      </w:r>
      <w:r>
        <w:rPr>
          <w:rFonts w:ascii="Times New Roman" w:hAnsi="Times New Roman" w:eastAsiaTheme="minorHAnsi"/>
          <w:sz w:val="24"/>
          <w:lang w:eastAsia="zh-CN"/>
        </w:rPr>
        <w:t xml:space="preserve">95%CI was calculated with multivariate Cox regression, adjusting for the variables that </w:t>
      </w:r>
      <w:r>
        <w:rPr>
          <w:rFonts w:ascii="Times New Roman" w:hAnsi="Times New Roman" w:eastAsiaTheme="minorHAnsi"/>
          <w:i/>
          <w:iCs/>
          <w:sz w:val="24"/>
          <w:lang w:eastAsia="zh-CN"/>
        </w:rPr>
        <w:t>P</w:t>
      </w:r>
      <w:r>
        <w:rPr>
          <w:rFonts w:ascii="Times New Roman" w:hAnsi="Times New Roman" w:eastAsiaTheme="minorHAnsi"/>
          <w:sz w:val="24"/>
          <w:lang w:eastAsia="zh-CN"/>
        </w:rPr>
        <w:t>&lt;0.10 from the univariate analysis, such as WHO classification, histological grade, vascular invasion, neural invasion, postoperative chemotherapy and TNM stage.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212ED"/>
    <w:rsid w:val="328212ED"/>
    <w:rsid w:val="4A80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auto"/>
    </w:pPr>
    <w:rPr>
      <w:rFonts w:ascii="Arial" w:hAnsi="Arial" w:eastAsia="宋体" w:cs="Times New Roman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2020-12-30T07:13:00Z</dcterms:created>
  <dc:creator>好菇凉光芒万丈</dc:creator>
  <cp:lastModifiedBy>好菇凉光芒万丈</cp:lastModifiedBy>
  <dcterms:modified xsi:type="dcterms:W3CDTF">2021-03-29T16:04:58Z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868ADBE5AD7D48D7ACA438DE2A6FC0D8</vt:lpwstr>
  </property>
</Properties>
</file>