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6" w:rsidRPr="00642B3D" w:rsidRDefault="00EB43D6" w:rsidP="00AF6176">
      <w:pPr>
        <w:autoSpaceDE w:val="0"/>
        <w:autoSpaceDN w:val="0"/>
        <w:adjustRightInd w:val="0"/>
        <w:spacing w:after="0" w:line="360" w:lineRule="auto"/>
        <w:jc w:val="both"/>
        <w:rPr>
          <w:rFonts w:ascii="Times New Roman" w:hAnsi="Times New Roman" w:cs="Times New Roman"/>
          <w:color w:val="000000"/>
          <w:sz w:val="28"/>
          <w:szCs w:val="28"/>
        </w:rPr>
      </w:pPr>
      <w:r w:rsidRPr="00642B3D">
        <w:rPr>
          <w:rFonts w:ascii="Times New Roman" w:hAnsi="Times New Roman" w:cs="Times New Roman"/>
          <w:color w:val="000000"/>
          <w:sz w:val="28"/>
          <w:szCs w:val="28"/>
        </w:rPr>
        <w:t>Results</w:t>
      </w:r>
    </w:p>
    <w:p w:rsidR="00EB43D6" w:rsidRPr="004B38CC" w:rsidRDefault="00B43214" w:rsidP="00EB43D6">
      <w:pPr>
        <w:spacing w:line="360" w:lineRule="auto"/>
        <w:jc w:val="both"/>
        <w:rPr>
          <w:rFonts w:ascii="Times New Roman" w:hAnsi="Times New Roman" w:cs="Times New Roman"/>
          <w:sz w:val="24"/>
          <w:szCs w:val="24"/>
        </w:rPr>
      </w:pPr>
      <w:r>
        <w:rPr>
          <w:rFonts w:ascii="Times New Roman" w:hAnsi="Times New Roman" w:cs="Times New Roman"/>
          <w:sz w:val="24"/>
          <w:szCs w:val="24"/>
        </w:rPr>
        <w:t>Table 1 shows</w:t>
      </w:r>
      <w:r w:rsidR="00EB43D6" w:rsidRPr="004B38CC">
        <w:rPr>
          <w:rFonts w:ascii="Times New Roman" w:hAnsi="Times New Roman" w:cs="Times New Roman"/>
          <w:sz w:val="24"/>
          <w:szCs w:val="24"/>
        </w:rPr>
        <w:t xml:space="preserve"> </w:t>
      </w:r>
      <w:r>
        <w:rPr>
          <w:rFonts w:ascii="Times New Roman" w:hAnsi="Times New Roman" w:cs="Times New Roman"/>
          <w:sz w:val="24"/>
          <w:szCs w:val="24"/>
        </w:rPr>
        <w:t>m</w:t>
      </w:r>
      <w:r w:rsidRPr="00B43214">
        <w:rPr>
          <w:rFonts w:ascii="Times New Roman" w:hAnsi="Times New Roman" w:cs="Times New Roman"/>
          <w:sz w:val="24"/>
          <w:szCs w:val="24"/>
        </w:rPr>
        <w:t xml:space="preserve">olecular docking </w:t>
      </w:r>
      <w:r>
        <w:rPr>
          <w:rFonts w:ascii="Times New Roman" w:hAnsi="Times New Roman" w:cs="Times New Roman"/>
          <w:sz w:val="24"/>
          <w:szCs w:val="24"/>
        </w:rPr>
        <w:t>results</w:t>
      </w:r>
      <w:r w:rsidRPr="00B43214">
        <w:rPr>
          <w:rFonts w:ascii="Times New Roman" w:hAnsi="Times New Roman" w:cs="Times New Roman"/>
          <w:sz w:val="24"/>
          <w:szCs w:val="24"/>
        </w:rPr>
        <w:t xml:space="preserve"> to determine the </w:t>
      </w:r>
      <w:r w:rsidR="00F56D23" w:rsidRPr="00F56D23">
        <w:rPr>
          <w:rFonts w:ascii="Times New Roman" w:hAnsi="Times New Roman" w:cs="Times New Roman"/>
          <w:sz w:val="24"/>
          <w:szCs w:val="24"/>
        </w:rPr>
        <w:t xml:space="preserve">SARS CoV-2 main protease (Mpro) </w:t>
      </w:r>
      <w:r w:rsidRPr="00B43214">
        <w:rPr>
          <w:rFonts w:ascii="Times New Roman" w:hAnsi="Times New Roman" w:cs="Times New Roman"/>
          <w:sz w:val="24"/>
          <w:szCs w:val="24"/>
        </w:rPr>
        <w:t xml:space="preserve">binding pocket </w:t>
      </w:r>
      <w:r w:rsidR="00BF420F">
        <w:rPr>
          <w:rFonts w:ascii="Times New Roman" w:hAnsi="Times New Roman" w:cs="Times New Roman"/>
          <w:sz w:val="24"/>
          <w:szCs w:val="24"/>
        </w:rPr>
        <w:t>affinity</w:t>
      </w:r>
      <w:r w:rsidRPr="00B43214">
        <w:rPr>
          <w:rFonts w:ascii="Times New Roman" w:hAnsi="Times New Roman" w:cs="Times New Roman"/>
          <w:sz w:val="24"/>
          <w:szCs w:val="24"/>
        </w:rPr>
        <w:t xml:space="preserve"> </w:t>
      </w:r>
      <w:r w:rsidR="00BF420F">
        <w:rPr>
          <w:rFonts w:ascii="Times New Roman" w:hAnsi="Times New Roman" w:cs="Times New Roman"/>
          <w:sz w:val="24"/>
          <w:szCs w:val="24"/>
        </w:rPr>
        <w:t>towards</w:t>
      </w:r>
      <w:r w:rsidRPr="00B43214">
        <w:rPr>
          <w:rFonts w:ascii="Times New Roman" w:hAnsi="Times New Roman" w:cs="Times New Roman"/>
          <w:sz w:val="24"/>
          <w:szCs w:val="24"/>
        </w:rPr>
        <w:t xml:space="preserve"> selected curcumin sp derived polyphenols</w:t>
      </w:r>
      <w:r w:rsidRPr="00B43214">
        <w:t xml:space="preserve"> </w:t>
      </w:r>
      <w:r w:rsidRPr="00B43214">
        <w:rPr>
          <w:rFonts w:ascii="Times New Roman" w:hAnsi="Times New Roman" w:cs="Times New Roman"/>
          <w:sz w:val="24"/>
          <w:szCs w:val="24"/>
        </w:rPr>
        <w:t>at 298.15 K</w:t>
      </w:r>
    </w:p>
    <w:tbl>
      <w:tblPr>
        <w:tblStyle w:val="TableGrid"/>
        <w:tblW w:w="939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350"/>
        <w:gridCol w:w="1710"/>
        <w:gridCol w:w="1530"/>
        <w:gridCol w:w="1530"/>
        <w:gridCol w:w="1182"/>
      </w:tblGrid>
      <w:tr w:rsidR="00EB43D6" w:rsidTr="003D387B">
        <w:trPr>
          <w:jc w:val="center"/>
        </w:trPr>
        <w:tc>
          <w:tcPr>
            <w:tcW w:w="2088"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Protein-ligand complexes</w:t>
            </w:r>
          </w:p>
        </w:tc>
        <w:tc>
          <w:tcPr>
            <w:tcW w:w="1350"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Binding  Energy (kcal/mol)</w:t>
            </w:r>
          </w:p>
        </w:tc>
        <w:tc>
          <w:tcPr>
            <w:tcW w:w="1710"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Inhibition Constant (Ki) (uM)</w:t>
            </w:r>
          </w:p>
        </w:tc>
        <w:tc>
          <w:tcPr>
            <w:tcW w:w="1530"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p>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 xml:space="preserve">RMSD </w:t>
            </w:r>
            <w:r w:rsidRPr="00BD6CF7">
              <w:rPr>
                <w:rFonts w:ascii="Times New Roman" w:hAnsi="Times New Roman" w:cs="Times New Roman"/>
                <w:vertAlign w:val="superscript"/>
              </w:rPr>
              <w:t>b</w:t>
            </w:r>
            <w:r w:rsidRPr="00BD6CF7">
              <w:rPr>
                <w:rFonts w:ascii="Times New Roman" w:hAnsi="Times New Roman" w:cs="Times New Roman"/>
              </w:rPr>
              <w:t xml:space="preserve"> (A</w:t>
            </w:r>
            <w:r w:rsidRPr="00BD6CF7">
              <w:rPr>
                <w:rFonts w:ascii="Times New Roman" w:hAnsi="Times New Roman" w:cs="Times New Roman"/>
                <w:vertAlign w:val="superscript"/>
              </w:rPr>
              <w:t>0</w:t>
            </w:r>
            <w:r w:rsidRPr="00BD6CF7">
              <w:rPr>
                <w:rFonts w:ascii="Times New Roman" w:hAnsi="Times New Roman" w:cs="Times New Roman"/>
              </w:rPr>
              <w:t>)</w:t>
            </w:r>
          </w:p>
        </w:tc>
        <w:tc>
          <w:tcPr>
            <w:tcW w:w="1530"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Residues involved in interaction</w:t>
            </w:r>
          </w:p>
        </w:tc>
        <w:tc>
          <w:tcPr>
            <w:tcW w:w="1182" w:type="dxa"/>
            <w:tcBorders>
              <w:top w:val="single" w:sz="12" w:space="0" w:color="auto"/>
              <w:bottom w:val="single" w:sz="12" w:space="0" w:color="auto"/>
            </w:tcBorders>
          </w:tcPr>
          <w:p w:rsidR="00EB43D6" w:rsidRPr="00BD6CF7" w:rsidRDefault="00EB43D6" w:rsidP="003D387B">
            <w:pPr>
              <w:spacing w:line="360" w:lineRule="auto"/>
              <w:jc w:val="both"/>
              <w:rPr>
                <w:rFonts w:ascii="Times New Roman" w:hAnsi="Times New Roman" w:cs="Times New Roman"/>
              </w:rPr>
            </w:pPr>
            <w:r w:rsidRPr="00BD6CF7">
              <w:rPr>
                <w:rFonts w:ascii="Times New Roman" w:hAnsi="Times New Roman" w:cs="Times New Roman"/>
              </w:rPr>
              <w:t>No of Hydrogen Bonds</w:t>
            </w:r>
          </w:p>
        </w:tc>
      </w:tr>
      <w:tr w:rsidR="00EB43D6" w:rsidTr="003D387B">
        <w:trPr>
          <w:jc w:val="center"/>
        </w:trPr>
        <w:tc>
          <w:tcPr>
            <w:tcW w:w="2088" w:type="dxa"/>
            <w:tcBorders>
              <w:top w:val="single" w:sz="12" w:space="0" w:color="auto"/>
            </w:tcBorders>
          </w:tcPr>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Diferuloylmethane -COVID-19 main protease</w:t>
            </w:r>
          </w:p>
        </w:tc>
        <w:tc>
          <w:tcPr>
            <w:tcW w:w="1350" w:type="dxa"/>
            <w:tcBorders>
              <w:top w:val="single" w:sz="12" w:space="0" w:color="auto"/>
            </w:tcBorders>
          </w:tcPr>
          <w:p w:rsidR="00EB43D6" w:rsidRPr="00333194" w:rsidRDefault="00EB43D6" w:rsidP="003D387B">
            <w:pPr>
              <w:spacing w:line="360" w:lineRule="auto"/>
              <w:jc w:val="both"/>
              <w:rPr>
                <w:rFonts w:ascii="Times New Roman" w:hAnsi="Times New Roman" w:cs="Times New Roman"/>
              </w:rPr>
            </w:pPr>
          </w:p>
          <w:p w:rsidR="00EB43D6" w:rsidRPr="00333194" w:rsidRDefault="007F1300" w:rsidP="003D387B">
            <w:pPr>
              <w:spacing w:line="360" w:lineRule="auto"/>
              <w:jc w:val="both"/>
              <w:rPr>
                <w:rFonts w:ascii="Times New Roman" w:hAnsi="Times New Roman" w:cs="Times New Roman"/>
              </w:rPr>
            </w:pPr>
            <w:r>
              <w:rPr>
                <w:rFonts w:ascii="Times New Roman" w:hAnsi="Times New Roman" w:cs="Times New Roman"/>
              </w:rPr>
              <w:t>-12.25</w:t>
            </w:r>
          </w:p>
        </w:tc>
        <w:tc>
          <w:tcPr>
            <w:tcW w:w="1710" w:type="dxa"/>
            <w:tcBorders>
              <w:top w:val="single" w:sz="12" w:space="0" w:color="auto"/>
            </w:tcBorders>
          </w:tcPr>
          <w:p w:rsidR="00EB43D6" w:rsidRPr="00333194" w:rsidRDefault="00EB43D6" w:rsidP="003D387B">
            <w:pPr>
              <w:spacing w:line="360" w:lineRule="auto"/>
              <w:jc w:val="both"/>
              <w:rPr>
                <w:rFonts w:ascii="Times New Roman" w:hAnsi="Times New Roman" w:cs="Times New Roman"/>
              </w:rPr>
            </w:pPr>
          </w:p>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156.42</w:t>
            </w:r>
          </w:p>
        </w:tc>
        <w:tc>
          <w:tcPr>
            <w:tcW w:w="1530" w:type="dxa"/>
            <w:tcBorders>
              <w:top w:val="single" w:sz="12" w:space="0" w:color="auto"/>
            </w:tcBorders>
          </w:tcPr>
          <w:p w:rsidR="00EB43D6" w:rsidRPr="00333194" w:rsidRDefault="00EB43D6" w:rsidP="003D387B">
            <w:pPr>
              <w:spacing w:line="360" w:lineRule="auto"/>
              <w:jc w:val="both"/>
              <w:rPr>
                <w:rFonts w:ascii="Times New Roman" w:hAnsi="Times New Roman" w:cs="Times New Roman"/>
              </w:rPr>
            </w:pPr>
          </w:p>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70.645</w:t>
            </w:r>
          </w:p>
        </w:tc>
        <w:tc>
          <w:tcPr>
            <w:tcW w:w="1530" w:type="dxa"/>
            <w:tcBorders>
              <w:top w:val="single" w:sz="12" w:space="0" w:color="auto"/>
            </w:tcBorders>
          </w:tcPr>
          <w:p w:rsidR="00EB43D6" w:rsidRPr="00333194" w:rsidRDefault="00EB43D6" w:rsidP="003D387B">
            <w:pPr>
              <w:spacing w:line="360" w:lineRule="auto"/>
              <w:jc w:val="both"/>
              <w:rPr>
                <w:rFonts w:ascii="Times New Roman" w:hAnsi="Times New Roman" w:cs="Times New Roman"/>
                <w:sz w:val="20"/>
                <w:szCs w:val="20"/>
              </w:rPr>
            </w:pPr>
          </w:p>
          <w:p w:rsidR="00EB43D6" w:rsidRPr="00333194" w:rsidRDefault="00EB43D6" w:rsidP="003D387B">
            <w:pPr>
              <w:spacing w:line="360" w:lineRule="auto"/>
              <w:jc w:val="both"/>
              <w:rPr>
                <w:rFonts w:ascii="Times New Roman" w:hAnsi="Times New Roman" w:cs="Times New Roman"/>
                <w:sz w:val="20"/>
                <w:szCs w:val="20"/>
              </w:rPr>
            </w:pPr>
            <w:r w:rsidRPr="00333194">
              <w:rPr>
                <w:rFonts w:ascii="Times New Roman" w:hAnsi="Times New Roman" w:cs="Times New Roman"/>
                <w:sz w:val="20"/>
                <w:szCs w:val="20"/>
              </w:rPr>
              <w:t>Asn142 and Gln192</w:t>
            </w:r>
          </w:p>
        </w:tc>
        <w:tc>
          <w:tcPr>
            <w:tcW w:w="1182" w:type="dxa"/>
            <w:tcBorders>
              <w:top w:val="single" w:sz="12" w:space="0" w:color="auto"/>
            </w:tcBorders>
          </w:tcPr>
          <w:p w:rsidR="00EB43D6" w:rsidRDefault="00EB43D6" w:rsidP="003D387B">
            <w:pPr>
              <w:spacing w:line="360" w:lineRule="auto"/>
              <w:jc w:val="both"/>
              <w:rPr>
                <w:rFonts w:ascii="Times New Roman" w:hAnsi="Times New Roman" w:cs="Times New Roman"/>
                <w:sz w:val="24"/>
                <w:szCs w:val="24"/>
              </w:rPr>
            </w:pPr>
          </w:p>
          <w:p w:rsidR="00EB43D6" w:rsidRPr="004B38CC" w:rsidRDefault="00EB43D6" w:rsidP="003D387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EB43D6" w:rsidTr="003D387B">
        <w:trPr>
          <w:jc w:val="center"/>
        </w:trPr>
        <w:tc>
          <w:tcPr>
            <w:tcW w:w="2088" w:type="dxa"/>
          </w:tcPr>
          <w:p w:rsidR="00EB43D6" w:rsidRPr="00333194" w:rsidRDefault="00BF420F" w:rsidP="003D387B">
            <w:pPr>
              <w:spacing w:line="360" w:lineRule="auto"/>
              <w:jc w:val="both"/>
              <w:rPr>
                <w:rFonts w:ascii="Times New Roman" w:hAnsi="Times New Roman" w:cs="Times New Roman"/>
              </w:rPr>
            </w:pPr>
            <w:r>
              <w:rPr>
                <w:rFonts w:ascii="Times New Roman" w:hAnsi="Times New Roman" w:cs="Times New Roman"/>
              </w:rPr>
              <w:t>Demethoxycurcumin-</w:t>
            </w:r>
            <w:r w:rsidR="00EB43D6" w:rsidRPr="00333194">
              <w:rPr>
                <w:rFonts w:ascii="Times New Roman" w:hAnsi="Times New Roman" w:cs="Times New Roman"/>
              </w:rPr>
              <w:t>COVID-19 main protease</w:t>
            </w:r>
          </w:p>
        </w:tc>
        <w:tc>
          <w:tcPr>
            <w:tcW w:w="1350" w:type="dxa"/>
          </w:tcPr>
          <w:p w:rsidR="00EB43D6" w:rsidRPr="00333194" w:rsidRDefault="00B43214" w:rsidP="00B43214">
            <w:pPr>
              <w:spacing w:line="360" w:lineRule="auto"/>
              <w:jc w:val="both"/>
              <w:rPr>
                <w:rFonts w:ascii="Times New Roman" w:hAnsi="Times New Roman" w:cs="Times New Roman"/>
              </w:rPr>
            </w:pPr>
            <w:r>
              <w:rPr>
                <w:rFonts w:ascii="Times New Roman" w:hAnsi="Times New Roman" w:cs="Times New Roman"/>
              </w:rPr>
              <w:t>-12.17</w:t>
            </w:r>
            <w:r w:rsidR="00EB43D6" w:rsidRPr="00333194">
              <w:rPr>
                <w:rFonts w:ascii="Times New Roman" w:hAnsi="Times New Roman" w:cs="Times New Roman"/>
              </w:rPr>
              <w:t xml:space="preserve"> </w:t>
            </w:r>
          </w:p>
        </w:tc>
        <w:tc>
          <w:tcPr>
            <w:tcW w:w="1710" w:type="dxa"/>
          </w:tcPr>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 xml:space="preserve">281.22 </w:t>
            </w:r>
          </w:p>
        </w:tc>
        <w:tc>
          <w:tcPr>
            <w:tcW w:w="1530" w:type="dxa"/>
          </w:tcPr>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 xml:space="preserve">57.842 </w:t>
            </w:r>
          </w:p>
        </w:tc>
        <w:tc>
          <w:tcPr>
            <w:tcW w:w="1530" w:type="dxa"/>
          </w:tcPr>
          <w:p w:rsidR="00EB43D6" w:rsidRPr="00333194" w:rsidRDefault="00EB43D6" w:rsidP="003D387B">
            <w:pPr>
              <w:spacing w:line="360" w:lineRule="auto"/>
              <w:jc w:val="both"/>
              <w:rPr>
                <w:rFonts w:ascii="Times New Roman" w:hAnsi="Times New Roman" w:cs="Times New Roman"/>
                <w:sz w:val="20"/>
                <w:szCs w:val="20"/>
              </w:rPr>
            </w:pPr>
            <w:r w:rsidRPr="00333194">
              <w:rPr>
                <w:rFonts w:ascii="Times New Roman" w:hAnsi="Times New Roman" w:cs="Times New Roman"/>
                <w:sz w:val="20"/>
                <w:szCs w:val="20"/>
              </w:rPr>
              <w:t>Leu272, Thr199,Lys137</w:t>
            </w:r>
          </w:p>
        </w:tc>
        <w:tc>
          <w:tcPr>
            <w:tcW w:w="1182" w:type="dxa"/>
          </w:tcPr>
          <w:p w:rsidR="00EB43D6" w:rsidRPr="004B38CC" w:rsidRDefault="00EB43D6" w:rsidP="003D387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B43D6" w:rsidTr="003D387B">
        <w:trPr>
          <w:jc w:val="center"/>
        </w:trPr>
        <w:tc>
          <w:tcPr>
            <w:tcW w:w="2088" w:type="dxa"/>
          </w:tcPr>
          <w:p w:rsidR="00EB43D6" w:rsidRPr="00333194" w:rsidRDefault="00BF420F" w:rsidP="003D387B">
            <w:pPr>
              <w:spacing w:line="360" w:lineRule="auto"/>
              <w:jc w:val="both"/>
              <w:rPr>
                <w:rFonts w:ascii="Times New Roman" w:hAnsi="Times New Roman" w:cs="Times New Roman"/>
              </w:rPr>
            </w:pPr>
            <w:r>
              <w:rPr>
                <w:rFonts w:ascii="Times New Roman" w:hAnsi="Times New Roman" w:cs="Times New Roman"/>
              </w:rPr>
              <w:t>Bisdemethoxycurcumin-</w:t>
            </w:r>
            <w:r w:rsidR="00EB43D6" w:rsidRPr="00333194">
              <w:rPr>
                <w:rFonts w:ascii="Times New Roman" w:hAnsi="Times New Roman" w:cs="Times New Roman"/>
              </w:rPr>
              <w:t>COVID-19 main protease</w:t>
            </w:r>
          </w:p>
        </w:tc>
        <w:tc>
          <w:tcPr>
            <w:tcW w:w="1350" w:type="dxa"/>
          </w:tcPr>
          <w:p w:rsidR="00EB43D6" w:rsidRPr="00333194" w:rsidRDefault="00B43214" w:rsidP="003D387B">
            <w:pPr>
              <w:spacing w:line="360" w:lineRule="auto"/>
              <w:jc w:val="both"/>
              <w:rPr>
                <w:rFonts w:ascii="Times New Roman" w:hAnsi="Times New Roman" w:cs="Times New Roman"/>
              </w:rPr>
            </w:pPr>
            <w:r>
              <w:rPr>
                <w:rFonts w:ascii="Times New Roman" w:hAnsi="Times New Roman" w:cs="Times New Roman"/>
              </w:rPr>
              <w:t xml:space="preserve">-12.32 </w:t>
            </w:r>
          </w:p>
        </w:tc>
        <w:tc>
          <w:tcPr>
            <w:tcW w:w="1710" w:type="dxa"/>
          </w:tcPr>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98.83</w:t>
            </w:r>
          </w:p>
        </w:tc>
        <w:tc>
          <w:tcPr>
            <w:tcW w:w="1530" w:type="dxa"/>
          </w:tcPr>
          <w:p w:rsidR="00EB43D6" w:rsidRPr="00333194" w:rsidRDefault="00EB43D6" w:rsidP="003D387B">
            <w:pPr>
              <w:spacing w:line="360" w:lineRule="auto"/>
              <w:jc w:val="both"/>
              <w:rPr>
                <w:rFonts w:ascii="Times New Roman" w:hAnsi="Times New Roman" w:cs="Times New Roman"/>
              </w:rPr>
            </w:pPr>
            <w:r w:rsidRPr="00333194">
              <w:rPr>
                <w:rFonts w:ascii="Times New Roman" w:hAnsi="Times New Roman" w:cs="Times New Roman"/>
              </w:rPr>
              <w:t>65.030</w:t>
            </w:r>
          </w:p>
        </w:tc>
        <w:tc>
          <w:tcPr>
            <w:tcW w:w="1530" w:type="dxa"/>
          </w:tcPr>
          <w:p w:rsidR="00EB43D6" w:rsidRPr="00333194" w:rsidRDefault="00EB43D6" w:rsidP="003D387B">
            <w:pPr>
              <w:spacing w:line="360" w:lineRule="auto"/>
              <w:jc w:val="both"/>
              <w:rPr>
                <w:rFonts w:ascii="Times New Roman" w:hAnsi="Times New Roman" w:cs="Times New Roman"/>
                <w:sz w:val="20"/>
                <w:szCs w:val="20"/>
              </w:rPr>
            </w:pPr>
            <w:r w:rsidRPr="00333194">
              <w:rPr>
                <w:rFonts w:ascii="Times New Roman" w:hAnsi="Times New Roman" w:cs="Times New Roman"/>
                <w:sz w:val="20"/>
                <w:szCs w:val="20"/>
              </w:rPr>
              <w:t>Phe294, Gln110 and Glu240</w:t>
            </w:r>
          </w:p>
        </w:tc>
        <w:tc>
          <w:tcPr>
            <w:tcW w:w="1182" w:type="dxa"/>
          </w:tcPr>
          <w:p w:rsidR="00EB43D6" w:rsidRPr="004B38CC" w:rsidRDefault="00EB43D6" w:rsidP="003D387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5179F6" w:rsidRDefault="005179F6" w:rsidP="00EB43D6">
      <w:pPr>
        <w:spacing w:line="360" w:lineRule="auto"/>
        <w:jc w:val="both"/>
      </w:pPr>
    </w:p>
    <w:p w:rsidR="005179F6" w:rsidRDefault="005179F6" w:rsidP="00EB43D6">
      <w:pPr>
        <w:spacing w:line="360" w:lineRule="auto"/>
        <w:jc w:val="both"/>
        <w:sectPr w:rsidR="005179F6">
          <w:pgSz w:w="12240" w:h="15840"/>
          <w:pgMar w:top="1440" w:right="1440" w:bottom="1440" w:left="1440" w:header="720" w:footer="720" w:gutter="0"/>
          <w:cols w:space="720"/>
          <w:docGrid w:linePitch="360"/>
        </w:sectPr>
      </w:pPr>
    </w:p>
    <w:p w:rsidR="005179F6" w:rsidRDefault="00055532" w:rsidP="00EF004A">
      <w:pPr>
        <w:spacing w:after="0" w:line="360" w:lineRule="auto"/>
        <w:jc w:val="right"/>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80.5pt">
            <v:imagedata r:id="rId6" o:title="27f18b39-ced5-4083-b8ad-b68ca295823e_1" croptop="2517f" cropbottom="19409f" cropleft="18198f" cropright="6838f"/>
          </v:shape>
        </w:pict>
      </w:r>
      <w:r w:rsidR="00EF004A">
        <w:rPr>
          <w:rFonts w:ascii="Times New Roman" w:hAnsi="Times New Roman" w:cs="Times New Roman"/>
          <w:sz w:val="24"/>
          <w:szCs w:val="24"/>
        </w:rPr>
        <w:t xml:space="preserve">  </w:t>
      </w:r>
      <w:r w:rsidR="006A5369">
        <w:rPr>
          <w:noProof/>
        </w:rPr>
        <w:drawing>
          <wp:inline distT="0" distB="0" distL="0" distR="0">
            <wp:extent cx="2924175" cy="3448050"/>
            <wp:effectExtent l="0" t="0" r="9525" b="0"/>
            <wp:docPr id="1" name="Picture 1" descr="1560b24a-7dde-4ea5-83e5-3b90d3770b7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560b24a-7dde-4ea5-83e5-3b90d3770b76_1"/>
                    <pic:cNvPicPr>
                      <a:picLocks noChangeAspect="1" noChangeArrowheads="1"/>
                    </pic:cNvPicPr>
                  </pic:nvPicPr>
                  <pic:blipFill>
                    <a:blip r:embed="rId7">
                      <a:extLst>
                        <a:ext uri="{28A0092B-C50C-407E-A947-70E740481C1C}">
                          <a14:useLocalDpi xmlns:a14="http://schemas.microsoft.com/office/drawing/2010/main" val="0"/>
                        </a:ext>
                      </a:extLst>
                    </a:blip>
                    <a:srcRect l="9470" t="4462" r="8507" b="24535"/>
                    <a:stretch>
                      <a:fillRect/>
                    </a:stretch>
                  </pic:blipFill>
                  <pic:spPr bwMode="auto">
                    <a:xfrm>
                      <a:off x="0" y="0"/>
                      <a:ext cx="2924175" cy="3448050"/>
                    </a:xfrm>
                    <a:prstGeom prst="rect">
                      <a:avLst/>
                    </a:prstGeom>
                    <a:noFill/>
                    <a:ln>
                      <a:noFill/>
                    </a:ln>
                  </pic:spPr>
                </pic:pic>
              </a:graphicData>
            </a:graphic>
          </wp:inline>
        </w:drawing>
      </w:r>
    </w:p>
    <w:p w:rsidR="005179F6" w:rsidRDefault="005179F6" w:rsidP="00EB43D6">
      <w:pPr>
        <w:spacing w:line="360" w:lineRule="auto"/>
        <w:jc w:val="both"/>
      </w:pPr>
    </w:p>
    <w:p w:rsidR="006A5369" w:rsidRDefault="006A5369" w:rsidP="00EB43D6">
      <w:pPr>
        <w:spacing w:line="360" w:lineRule="auto"/>
        <w:jc w:val="both"/>
      </w:pPr>
    </w:p>
    <w:p w:rsidR="00EC330C" w:rsidRDefault="00055532" w:rsidP="00EF004A">
      <w:pPr>
        <w:spacing w:line="360" w:lineRule="auto"/>
        <w:jc w:val="center"/>
      </w:pPr>
      <w:r>
        <w:pict>
          <v:shape id="_x0000_i1026" type="#_x0000_t75" style="width:230.25pt;height:279pt">
            <v:imagedata r:id="rId8" o:title="fbd3e54f-e55f-483e-8219-300bdfb468c2_1" croptop="3654f" cropbottom="16648f" cropleft="16958f" cropright="10824f"/>
          </v:shape>
        </w:pict>
      </w:r>
    </w:p>
    <w:p w:rsidR="00157F81" w:rsidRDefault="00157F81" w:rsidP="00157F81">
      <w:pPr>
        <w:spacing w:after="0" w:line="360" w:lineRule="auto"/>
        <w:jc w:val="both"/>
        <w:rPr>
          <w:rFonts w:ascii="Times New Roman" w:hAnsi="Times New Roman" w:cs="Times New Roman"/>
          <w:sz w:val="24"/>
          <w:szCs w:val="24"/>
        </w:rPr>
      </w:pPr>
      <w:r w:rsidRPr="00157F81">
        <w:rPr>
          <w:rFonts w:ascii="Times New Roman" w:hAnsi="Times New Roman" w:cs="Times New Roman"/>
          <w:sz w:val="24"/>
          <w:szCs w:val="24"/>
        </w:rPr>
        <w:t>Figure 1 Interactions of selected polyphenols and Main protease binding pocket residues. For all polyphenols, carbon atoms are shown in black, oxygens in red, and nitrogens in blue. Bonds in the Diferuloylmethane, Demethoxycurcumin, and Bisdemethoxycurcumin are shown in purple, and bonds in binding pocket residues are in brown. Hydrogen bonds are shown (with their lengths) as green dashed lines. Residues making hydrophobic interactions with the Diferuloylmethane, Demethoxycurcumin, and Bisdemethoxycurcumin are shown as red arcs with radiating lines. Diferuloylmethane, Demethoxycurcumin, and Bisdemethoxycurcumin</w:t>
      </w:r>
      <w:r>
        <w:rPr>
          <w:rFonts w:ascii="Times New Roman" w:hAnsi="Times New Roman" w:cs="Times New Roman"/>
          <w:sz w:val="24"/>
          <w:szCs w:val="24"/>
        </w:rPr>
        <w:t xml:space="preserve"> </w:t>
      </w:r>
      <w:r w:rsidRPr="00157F81">
        <w:rPr>
          <w:rFonts w:ascii="Times New Roman" w:hAnsi="Times New Roman" w:cs="Times New Roman"/>
          <w:sz w:val="24"/>
          <w:szCs w:val="24"/>
        </w:rPr>
        <w:t>atoms involved in these hydrophobic interactions are</w:t>
      </w:r>
      <w:r>
        <w:rPr>
          <w:rFonts w:ascii="Times New Roman" w:hAnsi="Times New Roman" w:cs="Times New Roman"/>
          <w:sz w:val="24"/>
          <w:szCs w:val="24"/>
        </w:rPr>
        <w:t xml:space="preserve"> shown with radiating red lines</w:t>
      </w:r>
    </w:p>
    <w:p w:rsidR="00CE4BE9" w:rsidRDefault="00055532" w:rsidP="00157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pict>
          <v:shape id="_x0000_i1027" type="#_x0000_t75" style="width:375pt;height:228pt">
            <v:imagedata r:id="rId9" o:title="peerj-48854-fig_1-1" croptop="5088f" cropbottom="42526f" cropleft="12248f" cropright="12248f"/>
          </v:shape>
        </w:pict>
      </w:r>
    </w:p>
    <w:p w:rsidR="00CE4BE9" w:rsidRDefault="00CE4BE9" w:rsidP="00CE4BE9">
      <w:pPr>
        <w:spacing w:after="0" w:line="360" w:lineRule="auto"/>
        <w:rPr>
          <w:rFonts w:ascii="Times New Roman" w:hAnsi="Times New Roman" w:cs="Times New Roman"/>
          <w:sz w:val="24"/>
          <w:szCs w:val="24"/>
        </w:rPr>
      </w:pPr>
    </w:p>
    <w:p w:rsidR="00CE4BE9" w:rsidRDefault="00CE4BE9" w:rsidP="00CE4B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2 </w:t>
      </w:r>
      <w:r w:rsidRPr="00CE4BE9">
        <w:rPr>
          <w:rFonts w:ascii="Times New Roman" w:hAnsi="Times New Roman" w:cs="Times New Roman"/>
          <w:sz w:val="24"/>
          <w:szCs w:val="24"/>
        </w:rPr>
        <w:t>Plots of Root-mean-square deviations of free SARS CoV-2 main protease (Mpro) (Blue) and the complex of SARS CoV-2 main protease (7BUY) (Red) with three polyphenols along the MD simulation time</w:t>
      </w:r>
      <w:r>
        <w:rPr>
          <w:rFonts w:ascii="Times New Roman" w:hAnsi="Times New Roman" w:cs="Times New Roman"/>
          <w:sz w:val="24"/>
          <w:szCs w:val="24"/>
        </w:rPr>
        <w:t>.</w:t>
      </w:r>
    </w:p>
    <w:p w:rsidR="00CE4BE9" w:rsidRDefault="00055532" w:rsidP="007F13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i1028" type="#_x0000_t75" style="width:375pt;height:228pt">
            <v:imagedata r:id="rId10" o:title="peerj-48854-figure_2-1" croptop="5088f" cropbottom="42450f" cropleft="11925f" cropright="11925f"/>
          </v:shape>
        </w:pict>
      </w:r>
    </w:p>
    <w:p w:rsidR="007F1300" w:rsidRDefault="007F1300" w:rsidP="007F1300">
      <w:pPr>
        <w:spacing w:after="0" w:line="360" w:lineRule="auto"/>
        <w:rPr>
          <w:rFonts w:ascii="Times New Roman" w:hAnsi="Times New Roman" w:cs="Times New Roman"/>
          <w:sz w:val="24"/>
          <w:szCs w:val="24"/>
        </w:rPr>
      </w:pPr>
      <w:r>
        <w:rPr>
          <w:rFonts w:ascii="Times New Roman" w:hAnsi="Times New Roman" w:cs="Times New Roman"/>
          <w:sz w:val="24"/>
          <w:szCs w:val="24"/>
        </w:rPr>
        <w:t>Figure 3</w:t>
      </w:r>
      <w:r w:rsidRPr="007F1300">
        <w:rPr>
          <w:rFonts w:ascii="Times New Roman" w:hAnsi="Times New Roman" w:cs="Times New Roman"/>
          <w:sz w:val="24"/>
          <w:szCs w:val="24"/>
        </w:rPr>
        <w:t xml:space="preserve"> Plots of Root-mean-square deviations of free main CoV-2 protease (Mpro) (Gray) and the complex of Mpro with Bisdemethoxycurcumin (Yellow), Demethoxycurcumin (Blue) and Diferuloylmethane (Red) along the MD simulation time for three individual pol</w:t>
      </w:r>
      <w:r>
        <w:rPr>
          <w:rFonts w:ascii="Times New Roman" w:hAnsi="Times New Roman" w:cs="Times New Roman"/>
          <w:sz w:val="24"/>
          <w:szCs w:val="24"/>
        </w:rPr>
        <w:t>yphenols.</w:t>
      </w:r>
    </w:p>
    <w:p w:rsidR="007F1300" w:rsidRDefault="00055532" w:rsidP="007F13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29" type="#_x0000_t75" style="width:375pt;height:228pt">
            <v:imagedata r:id="rId11" o:title="peerj-48854-figure_3-1" croptop="5088f" cropbottom="42526f" cropleft="12140f" cropright="12463f"/>
          </v:shape>
        </w:pict>
      </w:r>
    </w:p>
    <w:p w:rsidR="007F1300" w:rsidRDefault="007F1300" w:rsidP="007F1300">
      <w:pPr>
        <w:spacing w:after="0" w:line="360" w:lineRule="auto"/>
        <w:rPr>
          <w:rFonts w:ascii="Times New Roman" w:hAnsi="Times New Roman" w:cs="Times New Roman"/>
          <w:sz w:val="24"/>
          <w:szCs w:val="24"/>
        </w:rPr>
      </w:pPr>
      <w:r>
        <w:rPr>
          <w:rFonts w:ascii="Times New Roman" w:hAnsi="Times New Roman" w:cs="Times New Roman"/>
          <w:sz w:val="24"/>
          <w:szCs w:val="24"/>
        </w:rPr>
        <w:t>Figure 4</w:t>
      </w:r>
      <w:r w:rsidRPr="007F1300">
        <w:rPr>
          <w:rFonts w:ascii="Times New Roman" w:hAnsi="Times New Roman" w:cs="Times New Roman"/>
          <w:sz w:val="24"/>
          <w:szCs w:val="24"/>
        </w:rPr>
        <w:t xml:space="preserve"> RMSF plot of free main CoV-2 protease (Mpro</w:t>
      </w:r>
      <w:proofErr w:type="gramStart"/>
      <w:r w:rsidRPr="007F1300">
        <w:rPr>
          <w:rFonts w:ascii="Times New Roman" w:hAnsi="Times New Roman" w:cs="Times New Roman"/>
          <w:sz w:val="24"/>
          <w:szCs w:val="24"/>
        </w:rPr>
        <w:t>)(</w:t>
      </w:r>
      <w:proofErr w:type="gramEnd"/>
      <w:r w:rsidRPr="007F1300">
        <w:rPr>
          <w:rFonts w:ascii="Times New Roman" w:hAnsi="Times New Roman" w:cs="Times New Roman"/>
          <w:sz w:val="24"/>
          <w:szCs w:val="24"/>
        </w:rPr>
        <w:t>Yellow) and the complex of Mpro with Bisdemethoxycurcumin (Red), Demethoxycurcumin (Blue) and Diferuloylmethane (Gray) along the MD simulation time for three individual polyphenols.</w:t>
      </w:r>
    </w:p>
    <w:p w:rsidR="007F1300" w:rsidRDefault="00055532" w:rsidP="007F13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i1030" type="#_x0000_t75" style="width:375pt;height:233.25pt">
            <v:imagedata r:id="rId12" o:title="peerj-48854-figure_4-1" croptop="5012f" cropbottom="42147f" cropleft="12033f" cropright="12140f"/>
          </v:shape>
        </w:pict>
      </w:r>
    </w:p>
    <w:p w:rsidR="00642B3D" w:rsidRDefault="007F1300" w:rsidP="00F56D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5 </w:t>
      </w:r>
      <w:r w:rsidRPr="007F1300">
        <w:rPr>
          <w:rFonts w:ascii="Times New Roman" w:hAnsi="Times New Roman" w:cs="Times New Roman"/>
          <w:sz w:val="24"/>
          <w:szCs w:val="24"/>
        </w:rPr>
        <w:t>Number of hydrogen bond present in Bisdemethoxycurcumin-SARS-CoV-2 main protease (Yellow), Demethoxycurcumin-SARS-CoV-2 main protease (Gray), free SARS-CoV-2 main protease (Red) and diferuloylmethane-main protease (Blue).</w:t>
      </w:r>
    </w:p>
    <w:p w:rsidR="00F56D23" w:rsidRDefault="00F56D23" w:rsidP="00F56D23">
      <w:pPr>
        <w:spacing w:after="0" w:line="360" w:lineRule="auto"/>
        <w:rPr>
          <w:rFonts w:ascii="Times New Roman" w:hAnsi="Times New Roman" w:cs="Times New Roman"/>
          <w:sz w:val="24"/>
          <w:szCs w:val="24"/>
        </w:rPr>
      </w:pPr>
    </w:p>
    <w:p w:rsidR="00642B3D" w:rsidRDefault="00B43214" w:rsidP="00EB43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2</w:t>
      </w:r>
      <w:r w:rsidRPr="00B43214">
        <w:rPr>
          <w:rFonts w:ascii="Times New Roman" w:hAnsi="Times New Roman" w:cs="Times New Roman"/>
          <w:sz w:val="24"/>
          <w:szCs w:val="24"/>
        </w:rPr>
        <w:t xml:space="preserve"> Inter-residue distances and corresponding standard deviations. In each residue pair, one belongs to the binding pocket loop region and the other belongs to surface part of the enzyme</w:t>
      </w:r>
    </w:p>
    <w:tbl>
      <w:tblPr>
        <w:tblStyle w:val="TableGrid1"/>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860"/>
        <w:gridCol w:w="2445"/>
        <w:gridCol w:w="2553"/>
      </w:tblGrid>
      <w:tr w:rsidR="00B43214" w:rsidRPr="00B43214" w:rsidTr="00B43214">
        <w:tc>
          <w:tcPr>
            <w:tcW w:w="2718" w:type="dxa"/>
            <w:tcBorders>
              <w:top w:val="single" w:sz="12" w:space="0" w:color="auto"/>
              <w:bottom w:val="single" w:sz="12" w:space="0" w:color="auto"/>
            </w:tcBorders>
          </w:tcPr>
          <w:p w:rsidR="00B43214" w:rsidRPr="00B43214" w:rsidRDefault="00B43214" w:rsidP="00B43214">
            <w:pPr>
              <w:contextualSpacing/>
              <w:jc w:val="center"/>
              <w:rPr>
                <w:rFonts w:eastAsia="PcqfvbAdvTT3713a231"/>
                <w:color w:val="131413"/>
                <w:sz w:val="24"/>
                <w:szCs w:val="24"/>
                <w:lang w:eastAsia="zh-CN"/>
              </w:rPr>
            </w:pPr>
          </w:p>
          <w:p w:rsidR="00B43214" w:rsidRPr="00B43214" w:rsidRDefault="00B43214" w:rsidP="00B43214">
            <w:pPr>
              <w:contextualSpacing/>
              <w:jc w:val="center"/>
              <w:rPr>
                <w:rFonts w:eastAsia="Arial"/>
                <w:sz w:val="24"/>
                <w:szCs w:val="24"/>
              </w:rPr>
            </w:pPr>
            <w:r w:rsidRPr="00B43214">
              <w:rPr>
                <w:rFonts w:eastAsia="PcqfvbAdvTT3713a231"/>
                <w:color w:val="131413"/>
                <w:sz w:val="24"/>
                <w:szCs w:val="24"/>
                <w:lang w:eastAsia="zh-CN"/>
              </w:rPr>
              <w:t>Residues</w:t>
            </w:r>
          </w:p>
          <w:p w:rsidR="00B43214" w:rsidRPr="00B43214" w:rsidRDefault="00B43214" w:rsidP="00B43214">
            <w:pPr>
              <w:contextualSpacing/>
              <w:rPr>
                <w:rFonts w:eastAsia="CaeciliaLTStd-R"/>
                <w:b/>
                <w:bCs/>
                <w:color w:val="000000"/>
                <w:sz w:val="24"/>
                <w:szCs w:val="24"/>
                <w:lang w:eastAsia="zh-CN"/>
              </w:rPr>
            </w:pPr>
          </w:p>
        </w:tc>
        <w:tc>
          <w:tcPr>
            <w:tcW w:w="1860" w:type="dxa"/>
            <w:tcBorders>
              <w:top w:val="single" w:sz="12" w:space="0" w:color="auto"/>
              <w:bottom w:val="single" w:sz="12" w:space="0" w:color="auto"/>
            </w:tcBorders>
          </w:tcPr>
          <w:p w:rsidR="00B43214" w:rsidRPr="00B43214" w:rsidRDefault="00B43214" w:rsidP="00B43214">
            <w:pPr>
              <w:contextualSpacing/>
              <w:jc w:val="center"/>
              <w:rPr>
                <w:rFonts w:eastAsia="CaeciliaLTStd-R"/>
                <w:color w:val="000000"/>
                <w:sz w:val="24"/>
                <w:szCs w:val="24"/>
                <w:lang w:eastAsia="zh-CN"/>
              </w:rPr>
            </w:pPr>
          </w:p>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Free enzyme</w:t>
            </w:r>
          </w:p>
        </w:tc>
        <w:tc>
          <w:tcPr>
            <w:tcW w:w="2445" w:type="dxa"/>
            <w:tcBorders>
              <w:top w:val="single" w:sz="12" w:space="0" w:color="auto"/>
              <w:bottom w:val="single" w:sz="12" w:space="0" w:color="auto"/>
            </w:tcBorders>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Enzyme-D</w:t>
            </w:r>
            <w:r w:rsidRPr="00B43214">
              <w:rPr>
                <w:color w:val="000000"/>
                <w:sz w:val="24"/>
                <w:szCs w:val="24"/>
                <w:lang w:eastAsia="zh-CN"/>
              </w:rPr>
              <w:t xml:space="preserve">emethoxycurcumin </w:t>
            </w:r>
            <w:r w:rsidRPr="00B43214">
              <w:rPr>
                <w:rFonts w:eastAsia="CaeciliaLTStd-R"/>
                <w:color w:val="000000"/>
                <w:sz w:val="24"/>
                <w:szCs w:val="24"/>
                <w:lang w:eastAsia="zh-CN"/>
              </w:rPr>
              <w:t>complex</w:t>
            </w:r>
          </w:p>
        </w:tc>
        <w:tc>
          <w:tcPr>
            <w:tcW w:w="2553" w:type="dxa"/>
            <w:tcBorders>
              <w:top w:val="single" w:sz="12" w:space="0" w:color="auto"/>
              <w:bottom w:val="single" w:sz="12" w:space="0" w:color="auto"/>
            </w:tcBorders>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Enzyme-B</w:t>
            </w:r>
            <w:r w:rsidRPr="00B43214">
              <w:rPr>
                <w:color w:val="000000"/>
                <w:sz w:val="24"/>
                <w:szCs w:val="24"/>
                <w:lang w:eastAsia="zh-CN"/>
              </w:rPr>
              <w:t>isdemethoxycurcumin</w:t>
            </w:r>
            <w:r w:rsidRPr="00B43214">
              <w:rPr>
                <w:rFonts w:eastAsia="CaeciliaLTStd-R"/>
                <w:color w:val="000000"/>
                <w:sz w:val="24"/>
                <w:szCs w:val="24"/>
                <w:lang w:eastAsia="zh-CN"/>
              </w:rPr>
              <w:t xml:space="preserve"> complex</w:t>
            </w:r>
          </w:p>
        </w:tc>
      </w:tr>
      <w:tr w:rsidR="00B43214" w:rsidRPr="00B43214" w:rsidTr="00B43214">
        <w:tc>
          <w:tcPr>
            <w:tcW w:w="2718" w:type="dxa"/>
            <w:tcBorders>
              <w:top w:val="single" w:sz="12" w:space="0" w:color="auto"/>
            </w:tcBorders>
          </w:tcPr>
          <w:p w:rsidR="00B43214" w:rsidRPr="00B43214" w:rsidRDefault="00F56D23" w:rsidP="00B43214">
            <w:pPr>
              <w:contextualSpacing/>
              <w:jc w:val="center"/>
              <w:rPr>
                <w:rFonts w:eastAsia="Arial"/>
                <w:sz w:val="24"/>
                <w:szCs w:val="24"/>
              </w:rPr>
            </w:pPr>
            <w:r w:rsidRPr="00F56D23">
              <w:rPr>
                <w:rFonts w:eastAsia="PcqfvbAdvTT3713a231"/>
                <w:sz w:val="24"/>
                <w:szCs w:val="24"/>
                <w:lang w:eastAsia="zh-CN"/>
              </w:rPr>
              <w:t>Arg188</w:t>
            </w:r>
            <w:r w:rsidR="00B43214" w:rsidRPr="00B43214">
              <w:rPr>
                <w:rFonts w:eastAsia="PcqfvbAdvTT3713a231"/>
                <w:sz w:val="24"/>
                <w:szCs w:val="24"/>
                <w:lang w:eastAsia="zh-CN"/>
              </w:rPr>
              <w:t>-</w:t>
            </w:r>
            <w:r>
              <w:t xml:space="preserve"> </w:t>
            </w:r>
            <w:r w:rsidRPr="00F56D23">
              <w:rPr>
                <w:rFonts w:eastAsia="PcqfvbAdvTT3713a231"/>
                <w:sz w:val="24"/>
                <w:szCs w:val="24"/>
                <w:lang w:eastAsia="zh-CN"/>
              </w:rPr>
              <w:t>Phe294</w:t>
            </w:r>
          </w:p>
          <w:p w:rsidR="00B43214" w:rsidRPr="00B43214" w:rsidRDefault="00B43214" w:rsidP="00B43214">
            <w:pPr>
              <w:contextualSpacing/>
              <w:jc w:val="center"/>
              <w:rPr>
                <w:rFonts w:eastAsia="CaeciliaLTStd-R"/>
                <w:b/>
                <w:bCs/>
                <w:sz w:val="24"/>
                <w:szCs w:val="24"/>
                <w:lang w:eastAsia="zh-CN"/>
              </w:rPr>
            </w:pPr>
          </w:p>
        </w:tc>
        <w:tc>
          <w:tcPr>
            <w:tcW w:w="1860" w:type="dxa"/>
            <w:tcBorders>
              <w:top w:val="single" w:sz="12" w:space="0" w:color="auto"/>
            </w:tcBorders>
          </w:tcPr>
          <w:p w:rsidR="00B43214" w:rsidRPr="00B43214" w:rsidRDefault="00643D17" w:rsidP="00B43214">
            <w:pPr>
              <w:contextualSpacing/>
              <w:jc w:val="center"/>
              <w:rPr>
                <w:rFonts w:eastAsia="Arial"/>
                <w:sz w:val="24"/>
                <w:szCs w:val="24"/>
              </w:rPr>
            </w:pPr>
            <w:r>
              <w:rPr>
                <w:rFonts w:eastAsia="PcqfvbAdvTT3713a231"/>
                <w:sz w:val="24"/>
                <w:szCs w:val="24"/>
                <w:lang w:eastAsia="zh-CN"/>
              </w:rPr>
              <w:t>5</w:t>
            </w:r>
            <w:r w:rsidR="00B43214" w:rsidRPr="00B43214">
              <w:rPr>
                <w:rFonts w:eastAsia="PcqfvbAdvTT3713a231"/>
                <w:sz w:val="24"/>
                <w:szCs w:val="24"/>
                <w:lang w:eastAsia="zh-CN"/>
              </w:rPr>
              <w:t>.154 ± 1.531</w:t>
            </w:r>
          </w:p>
          <w:p w:rsidR="00B43214" w:rsidRPr="00B43214" w:rsidRDefault="00B43214" w:rsidP="00B43214">
            <w:pPr>
              <w:contextualSpacing/>
              <w:jc w:val="center"/>
              <w:rPr>
                <w:rFonts w:eastAsia="CaeciliaLTStd-R"/>
                <w:b/>
                <w:bCs/>
                <w:sz w:val="24"/>
                <w:szCs w:val="24"/>
                <w:lang w:eastAsia="zh-CN"/>
              </w:rPr>
            </w:pPr>
          </w:p>
        </w:tc>
        <w:tc>
          <w:tcPr>
            <w:tcW w:w="2445" w:type="dxa"/>
            <w:tcBorders>
              <w:top w:val="single" w:sz="12" w:space="0" w:color="auto"/>
            </w:tcBorders>
          </w:tcPr>
          <w:p w:rsidR="00B43214" w:rsidRPr="00B43214" w:rsidRDefault="00643D17" w:rsidP="00B43214">
            <w:pPr>
              <w:contextualSpacing/>
              <w:jc w:val="center"/>
              <w:rPr>
                <w:rFonts w:eastAsia="Arial"/>
                <w:sz w:val="24"/>
                <w:szCs w:val="24"/>
              </w:rPr>
            </w:pPr>
            <w:r>
              <w:rPr>
                <w:rFonts w:eastAsia="PcqfvbAdvTT3713a231"/>
                <w:sz w:val="24"/>
                <w:szCs w:val="24"/>
                <w:lang w:eastAsia="zh-CN"/>
              </w:rPr>
              <w:t>5</w:t>
            </w:r>
            <w:r w:rsidR="00B43214" w:rsidRPr="00B43214">
              <w:rPr>
                <w:rFonts w:eastAsia="PcqfvbAdvTT3713a231"/>
                <w:sz w:val="24"/>
                <w:szCs w:val="24"/>
                <w:lang w:eastAsia="zh-CN"/>
              </w:rPr>
              <w:t>.937 ± 1.604</w:t>
            </w:r>
          </w:p>
          <w:p w:rsidR="00B43214" w:rsidRPr="00B43214" w:rsidRDefault="00B43214" w:rsidP="00B43214">
            <w:pPr>
              <w:contextualSpacing/>
              <w:jc w:val="center"/>
              <w:rPr>
                <w:rFonts w:eastAsia="CaeciliaLTStd-R"/>
                <w:b/>
                <w:bCs/>
                <w:sz w:val="24"/>
                <w:szCs w:val="24"/>
                <w:lang w:eastAsia="zh-CN"/>
              </w:rPr>
            </w:pPr>
          </w:p>
        </w:tc>
        <w:tc>
          <w:tcPr>
            <w:tcW w:w="2553" w:type="dxa"/>
            <w:tcBorders>
              <w:top w:val="single" w:sz="12" w:space="0" w:color="auto"/>
            </w:tcBorders>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4.5 </w:t>
            </w:r>
            <w:r w:rsidRPr="00B43214">
              <w:rPr>
                <w:rFonts w:eastAsia="PcqfvbAdvTT3713a231"/>
                <w:sz w:val="24"/>
                <w:szCs w:val="24"/>
                <w:lang w:eastAsia="zh-CN"/>
              </w:rPr>
              <w:t>± 1.10</w:t>
            </w:r>
          </w:p>
        </w:tc>
      </w:tr>
      <w:tr w:rsidR="00B43214" w:rsidRPr="00B43214" w:rsidTr="00B43214">
        <w:tc>
          <w:tcPr>
            <w:tcW w:w="2718" w:type="dxa"/>
          </w:tcPr>
          <w:p w:rsidR="00B43214" w:rsidRPr="00B43214" w:rsidRDefault="00F56D23" w:rsidP="00B43214">
            <w:pPr>
              <w:contextualSpacing/>
              <w:jc w:val="center"/>
              <w:rPr>
                <w:rFonts w:eastAsia="Arial"/>
                <w:sz w:val="24"/>
                <w:szCs w:val="24"/>
              </w:rPr>
            </w:pPr>
            <w:r w:rsidRPr="00F56D23">
              <w:rPr>
                <w:rFonts w:eastAsia="PcqfvbAdvTT3713a231"/>
                <w:sz w:val="24"/>
                <w:szCs w:val="24"/>
                <w:lang w:eastAsia="zh-CN"/>
              </w:rPr>
              <w:t>Val202</w:t>
            </w:r>
            <w:r w:rsidR="00B43214" w:rsidRPr="00B43214">
              <w:rPr>
                <w:rFonts w:eastAsia="PcqfvbAdvTT3713a231"/>
                <w:sz w:val="24"/>
                <w:szCs w:val="24"/>
                <w:lang w:eastAsia="zh-CN"/>
              </w:rPr>
              <w:t>-</w:t>
            </w:r>
            <w:r>
              <w:t xml:space="preserve"> </w:t>
            </w:r>
            <w:r w:rsidRPr="00F56D23">
              <w:rPr>
                <w:rFonts w:eastAsia="PcqfvbAdvTT3713a231"/>
                <w:sz w:val="24"/>
                <w:szCs w:val="24"/>
                <w:lang w:eastAsia="zh-CN"/>
              </w:rPr>
              <w:t>Gln110</w:t>
            </w:r>
          </w:p>
          <w:p w:rsidR="00B43214" w:rsidRPr="00B43214" w:rsidRDefault="00B43214" w:rsidP="00B43214">
            <w:pPr>
              <w:contextualSpacing/>
              <w:jc w:val="center"/>
              <w:rPr>
                <w:rFonts w:eastAsia="CaeciliaLTStd-R"/>
                <w:b/>
                <w:bCs/>
                <w:sz w:val="24"/>
                <w:szCs w:val="24"/>
                <w:lang w:eastAsia="zh-CN"/>
              </w:rPr>
            </w:pPr>
          </w:p>
        </w:tc>
        <w:tc>
          <w:tcPr>
            <w:tcW w:w="1860"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9.419 ± 1.440</w:t>
            </w:r>
          </w:p>
          <w:p w:rsidR="00B43214" w:rsidRPr="00B43214" w:rsidRDefault="00B43214" w:rsidP="00B43214">
            <w:pPr>
              <w:contextualSpacing/>
              <w:jc w:val="center"/>
              <w:rPr>
                <w:rFonts w:eastAsia="CaeciliaLTStd-R"/>
                <w:b/>
                <w:bCs/>
                <w:sz w:val="24"/>
                <w:szCs w:val="24"/>
                <w:lang w:eastAsia="zh-CN"/>
              </w:rPr>
            </w:pPr>
          </w:p>
        </w:tc>
        <w:tc>
          <w:tcPr>
            <w:tcW w:w="2445"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8.455 ± 1.090</w:t>
            </w:r>
          </w:p>
          <w:p w:rsidR="00B43214" w:rsidRPr="00B43214" w:rsidRDefault="00B43214" w:rsidP="00B43214">
            <w:pPr>
              <w:contextualSpacing/>
              <w:jc w:val="center"/>
              <w:rPr>
                <w:rFonts w:eastAsia="CaeciliaLTStd-R"/>
                <w:b/>
                <w:bCs/>
                <w:sz w:val="24"/>
                <w:szCs w:val="24"/>
                <w:lang w:eastAsia="zh-CN"/>
              </w:rPr>
            </w:pPr>
          </w:p>
        </w:tc>
        <w:tc>
          <w:tcPr>
            <w:tcW w:w="2553" w:type="dxa"/>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9.25 </w:t>
            </w:r>
            <w:r w:rsidRPr="00B43214">
              <w:rPr>
                <w:rFonts w:eastAsia="PcqfvbAdvTT3713a231"/>
                <w:sz w:val="24"/>
                <w:szCs w:val="24"/>
                <w:lang w:eastAsia="zh-CN"/>
              </w:rPr>
              <w:t>± 1.440</w:t>
            </w:r>
          </w:p>
        </w:tc>
      </w:tr>
      <w:tr w:rsidR="00B43214" w:rsidRPr="00B43214" w:rsidTr="00B43214">
        <w:tc>
          <w:tcPr>
            <w:tcW w:w="2718" w:type="dxa"/>
          </w:tcPr>
          <w:p w:rsidR="00B43214" w:rsidRPr="00B43214" w:rsidRDefault="00F56D23" w:rsidP="00B43214">
            <w:pPr>
              <w:contextualSpacing/>
              <w:jc w:val="center"/>
              <w:rPr>
                <w:rFonts w:eastAsia="Arial"/>
                <w:sz w:val="24"/>
                <w:szCs w:val="24"/>
              </w:rPr>
            </w:pPr>
            <w:r w:rsidRPr="00F56D23">
              <w:rPr>
                <w:rFonts w:eastAsia="PcqfvbAdvTT3713a231"/>
                <w:sz w:val="24"/>
                <w:szCs w:val="24"/>
                <w:lang w:eastAsia="zh-CN"/>
              </w:rPr>
              <w:t>Gly109</w:t>
            </w:r>
            <w:r w:rsidR="00B43214" w:rsidRPr="00B43214">
              <w:rPr>
                <w:rFonts w:eastAsia="PcqfvbAdvTT3713a231"/>
                <w:sz w:val="24"/>
                <w:szCs w:val="24"/>
                <w:lang w:eastAsia="zh-CN"/>
              </w:rPr>
              <w:t>-</w:t>
            </w:r>
            <w:r>
              <w:t xml:space="preserve"> </w:t>
            </w:r>
            <w:r w:rsidRPr="00F56D23">
              <w:rPr>
                <w:rFonts w:eastAsia="PcqfvbAdvTT3713a231"/>
                <w:sz w:val="24"/>
                <w:szCs w:val="24"/>
                <w:lang w:eastAsia="zh-CN"/>
              </w:rPr>
              <w:t>Gln240</w:t>
            </w:r>
          </w:p>
          <w:p w:rsidR="00B43214" w:rsidRPr="00B43214" w:rsidRDefault="00B43214" w:rsidP="00B43214">
            <w:pPr>
              <w:contextualSpacing/>
              <w:jc w:val="center"/>
              <w:rPr>
                <w:rFonts w:eastAsia="CaeciliaLTStd-R"/>
                <w:b/>
                <w:bCs/>
                <w:sz w:val="24"/>
                <w:szCs w:val="24"/>
                <w:lang w:eastAsia="zh-CN"/>
              </w:rPr>
            </w:pPr>
          </w:p>
        </w:tc>
        <w:tc>
          <w:tcPr>
            <w:tcW w:w="1860"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10.111 ± 1.838</w:t>
            </w:r>
          </w:p>
          <w:p w:rsidR="00B43214" w:rsidRPr="00B43214" w:rsidRDefault="00B43214" w:rsidP="00B43214">
            <w:pPr>
              <w:contextualSpacing/>
              <w:jc w:val="center"/>
              <w:rPr>
                <w:rFonts w:eastAsia="CaeciliaLTStd-R"/>
                <w:b/>
                <w:bCs/>
                <w:sz w:val="24"/>
                <w:szCs w:val="24"/>
                <w:lang w:eastAsia="zh-CN"/>
              </w:rPr>
            </w:pPr>
          </w:p>
        </w:tc>
        <w:tc>
          <w:tcPr>
            <w:tcW w:w="2445"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8.296 ± 1.459</w:t>
            </w:r>
          </w:p>
          <w:p w:rsidR="00B43214" w:rsidRPr="00B43214" w:rsidRDefault="00B43214" w:rsidP="00B43214">
            <w:pPr>
              <w:contextualSpacing/>
              <w:jc w:val="center"/>
              <w:rPr>
                <w:rFonts w:eastAsia="CaeciliaLTStd-R"/>
                <w:b/>
                <w:bCs/>
                <w:sz w:val="24"/>
                <w:szCs w:val="24"/>
                <w:lang w:eastAsia="zh-CN"/>
              </w:rPr>
            </w:pPr>
          </w:p>
        </w:tc>
        <w:tc>
          <w:tcPr>
            <w:tcW w:w="2553" w:type="dxa"/>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11.31 </w:t>
            </w:r>
            <w:r w:rsidRPr="00B43214">
              <w:rPr>
                <w:rFonts w:eastAsia="PcqfvbAdvTT3713a231"/>
                <w:sz w:val="24"/>
                <w:szCs w:val="24"/>
                <w:lang w:eastAsia="zh-CN"/>
              </w:rPr>
              <w:t>± 1.14</w:t>
            </w:r>
          </w:p>
        </w:tc>
      </w:tr>
      <w:tr w:rsidR="00B43214" w:rsidRPr="00B43214" w:rsidTr="00B43214">
        <w:tc>
          <w:tcPr>
            <w:tcW w:w="2718" w:type="dxa"/>
          </w:tcPr>
          <w:p w:rsidR="00B43214" w:rsidRPr="00B43214" w:rsidRDefault="00F56D23" w:rsidP="00B43214">
            <w:pPr>
              <w:contextualSpacing/>
              <w:jc w:val="center"/>
              <w:rPr>
                <w:rFonts w:eastAsia="Arial"/>
                <w:sz w:val="24"/>
                <w:szCs w:val="24"/>
              </w:rPr>
            </w:pPr>
            <w:r w:rsidRPr="00F56D23">
              <w:rPr>
                <w:rFonts w:eastAsia="PcqfvbAdvTT3713a231"/>
                <w:sz w:val="24"/>
                <w:szCs w:val="24"/>
                <w:lang w:eastAsia="zh-CN"/>
              </w:rPr>
              <w:t>Pro293</w:t>
            </w:r>
            <w:r w:rsidR="00B43214" w:rsidRPr="00B43214">
              <w:rPr>
                <w:rFonts w:eastAsia="PcqfvbAdvTT3713a231"/>
                <w:sz w:val="24"/>
                <w:szCs w:val="24"/>
                <w:lang w:eastAsia="zh-CN"/>
              </w:rPr>
              <w:t>-</w:t>
            </w:r>
            <w:r>
              <w:t xml:space="preserve"> </w:t>
            </w:r>
            <w:r w:rsidRPr="00F56D23">
              <w:rPr>
                <w:rFonts w:eastAsia="PcqfvbAdvTT3713a231"/>
                <w:sz w:val="24"/>
                <w:szCs w:val="24"/>
                <w:lang w:eastAsia="zh-CN"/>
              </w:rPr>
              <w:t>Gln192</w:t>
            </w:r>
          </w:p>
          <w:p w:rsidR="00B43214" w:rsidRPr="00B43214" w:rsidRDefault="00B43214" w:rsidP="00B43214">
            <w:pPr>
              <w:contextualSpacing/>
              <w:jc w:val="center"/>
              <w:rPr>
                <w:rFonts w:eastAsia="CaeciliaLTStd-R"/>
                <w:b/>
                <w:bCs/>
                <w:sz w:val="24"/>
                <w:szCs w:val="24"/>
                <w:lang w:eastAsia="zh-CN"/>
              </w:rPr>
            </w:pPr>
          </w:p>
        </w:tc>
        <w:tc>
          <w:tcPr>
            <w:tcW w:w="1860"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8.570 ± 1.663</w:t>
            </w:r>
          </w:p>
          <w:p w:rsidR="00B43214" w:rsidRPr="00B43214" w:rsidRDefault="00B43214" w:rsidP="00B43214">
            <w:pPr>
              <w:contextualSpacing/>
              <w:jc w:val="center"/>
              <w:rPr>
                <w:rFonts w:eastAsia="CaeciliaLTStd-R"/>
                <w:b/>
                <w:bCs/>
                <w:sz w:val="24"/>
                <w:szCs w:val="24"/>
                <w:lang w:eastAsia="zh-CN"/>
              </w:rPr>
            </w:pPr>
          </w:p>
        </w:tc>
        <w:tc>
          <w:tcPr>
            <w:tcW w:w="2445"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7.095 ± 1.022</w:t>
            </w:r>
          </w:p>
          <w:p w:rsidR="00B43214" w:rsidRPr="00B43214" w:rsidRDefault="00B43214" w:rsidP="00B43214">
            <w:pPr>
              <w:contextualSpacing/>
              <w:jc w:val="center"/>
              <w:rPr>
                <w:rFonts w:eastAsia="CaeciliaLTStd-R"/>
                <w:b/>
                <w:bCs/>
                <w:sz w:val="24"/>
                <w:szCs w:val="24"/>
                <w:lang w:eastAsia="zh-CN"/>
              </w:rPr>
            </w:pPr>
          </w:p>
        </w:tc>
        <w:tc>
          <w:tcPr>
            <w:tcW w:w="2553" w:type="dxa"/>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5.13 </w:t>
            </w:r>
            <w:r w:rsidRPr="00B43214">
              <w:rPr>
                <w:rFonts w:eastAsia="PcqfvbAdvTT3713a231"/>
                <w:sz w:val="24"/>
                <w:szCs w:val="24"/>
                <w:lang w:eastAsia="zh-CN"/>
              </w:rPr>
              <w:t>± 1.04</w:t>
            </w:r>
          </w:p>
        </w:tc>
      </w:tr>
      <w:tr w:rsidR="00B43214" w:rsidRPr="00B43214" w:rsidTr="00B43214">
        <w:tc>
          <w:tcPr>
            <w:tcW w:w="2718" w:type="dxa"/>
          </w:tcPr>
          <w:p w:rsidR="00B43214" w:rsidRPr="00B43214" w:rsidRDefault="00F56D23" w:rsidP="00B43214">
            <w:pPr>
              <w:contextualSpacing/>
              <w:jc w:val="center"/>
              <w:rPr>
                <w:rFonts w:eastAsia="Arial"/>
                <w:sz w:val="24"/>
                <w:szCs w:val="24"/>
              </w:rPr>
            </w:pPr>
            <w:r w:rsidRPr="00F56D23">
              <w:rPr>
                <w:rFonts w:eastAsia="PcqfvbAdvTT3713a231"/>
                <w:sz w:val="24"/>
                <w:szCs w:val="24"/>
                <w:lang w:eastAsia="zh-CN"/>
              </w:rPr>
              <w:t>Ile249</w:t>
            </w:r>
            <w:r w:rsidR="00B43214" w:rsidRPr="00B43214">
              <w:rPr>
                <w:rFonts w:eastAsia="PcqfvbAdvTT3713a231"/>
                <w:sz w:val="24"/>
                <w:szCs w:val="24"/>
                <w:lang w:eastAsia="zh-CN"/>
              </w:rPr>
              <w:t>-</w:t>
            </w:r>
            <w:r>
              <w:t xml:space="preserve"> </w:t>
            </w:r>
            <w:r w:rsidRPr="00F56D23">
              <w:rPr>
                <w:rFonts w:eastAsia="PcqfvbAdvTT3713a231"/>
                <w:sz w:val="24"/>
                <w:szCs w:val="24"/>
                <w:lang w:eastAsia="zh-CN"/>
              </w:rPr>
              <w:t>Asn142</w:t>
            </w:r>
          </w:p>
          <w:p w:rsidR="00B43214" w:rsidRPr="00B43214" w:rsidRDefault="00B43214" w:rsidP="00B43214">
            <w:pPr>
              <w:contextualSpacing/>
              <w:jc w:val="center"/>
              <w:rPr>
                <w:rFonts w:eastAsia="CaeciliaLTStd-R"/>
                <w:b/>
                <w:bCs/>
                <w:sz w:val="24"/>
                <w:szCs w:val="24"/>
                <w:lang w:eastAsia="zh-CN"/>
              </w:rPr>
            </w:pPr>
          </w:p>
        </w:tc>
        <w:tc>
          <w:tcPr>
            <w:tcW w:w="1860"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9.170 ± 5.015</w:t>
            </w:r>
          </w:p>
          <w:p w:rsidR="00B43214" w:rsidRPr="00B43214" w:rsidRDefault="00B43214" w:rsidP="00B43214">
            <w:pPr>
              <w:contextualSpacing/>
              <w:jc w:val="center"/>
              <w:rPr>
                <w:rFonts w:eastAsia="CaeciliaLTStd-R"/>
                <w:b/>
                <w:bCs/>
                <w:sz w:val="24"/>
                <w:szCs w:val="24"/>
                <w:lang w:eastAsia="zh-CN"/>
              </w:rPr>
            </w:pPr>
          </w:p>
        </w:tc>
        <w:tc>
          <w:tcPr>
            <w:tcW w:w="2445" w:type="dxa"/>
          </w:tcPr>
          <w:p w:rsidR="00B43214" w:rsidRPr="00B43214" w:rsidRDefault="00B43214" w:rsidP="00B43214">
            <w:pPr>
              <w:contextualSpacing/>
              <w:jc w:val="center"/>
              <w:rPr>
                <w:rFonts w:eastAsia="Arial"/>
                <w:sz w:val="24"/>
                <w:szCs w:val="24"/>
              </w:rPr>
            </w:pPr>
            <w:r w:rsidRPr="00B43214">
              <w:rPr>
                <w:rFonts w:eastAsia="PcqfvbAdvTT3713a231"/>
                <w:sz w:val="24"/>
                <w:szCs w:val="24"/>
                <w:lang w:eastAsia="zh-CN"/>
              </w:rPr>
              <w:t>10.485 ± 1.560</w:t>
            </w:r>
          </w:p>
          <w:p w:rsidR="00B43214" w:rsidRPr="00B43214" w:rsidRDefault="00B43214" w:rsidP="00B43214">
            <w:pPr>
              <w:contextualSpacing/>
              <w:jc w:val="center"/>
              <w:rPr>
                <w:rFonts w:eastAsia="CaeciliaLTStd-R"/>
                <w:b/>
                <w:bCs/>
                <w:sz w:val="24"/>
                <w:szCs w:val="24"/>
                <w:lang w:eastAsia="zh-CN"/>
              </w:rPr>
            </w:pPr>
          </w:p>
        </w:tc>
        <w:tc>
          <w:tcPr>
            <w:tcW w:w="2553" w:type="dxa"/>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6.71 </w:t>
            </w:r>
            <w:r w:rsidRPr="00B43214">
              <w:rPr>
                <w:rFonts w:eastAsia="PcqfvbAdvTT3713a231"/>
                <w:sz w:val="24"/>
                <w:szCs w:val="24"/>
                <w:lang w:eastAsia="zh-CN"/>
              </w:rPr>
              <w:t>± 0.44</w:t>
            </w:r>
          </w:p>
        </w:tc>
      </w:tr>
      <w:tr w:rsidR="00B43214" w:rsidRPr="00B43214" w:rsidTr="00B43214">
        <w:tc>
          <w:tcPr>
            <w:tcW w:w="2718" w:type="dxa"/>
            <w:hideMark/>
          </w:tcPr>
          <w:p w:rsidR="00B43214" w:rsidRPr="00B43214" w:rsidRDefault="00F56D23" w:rsidP="00F56D23">
            <w:pPr>
              <w:spacing w:line="360" w:lineRule="auto"/>
              <w:contextualSpacing/>
              <w:jc w:val="center"/>
              <w:rPr>
                <w:rFonts w:eastAsia="CaeciliaLTStd-R"/>
                <w:sz w:val="24"/>
                <w:szCs w:val="24"/>
                <w:lang w:eastAsia="zh-CN"/>
              </w:rPr>
            </w:pPr>
            <w:r w:rsidRPr="00F56D23">
              <w:rPr>
                <w:rFonts w:eastAsia="CaeciliaLTStd-R"/>
                <w:sz w:val="24"/>
                <w:szCs w:val="24"/>
                <w:lang w:eastAsia="zh-CN"/>
              </w:rPr>
              <w:t>Pro252</w:t>
            </w:r>
            <w:r w:rsidR="00B43214" w:rsidRPr="00B43214">
              <w:rPr>
                <w:rFonts w:eastAsia="CaeciliaLTStd-R"/>
                <w:sz w:val="24"/>
                <w:szCs w:val="24"/>
                <w:lang w:eastAsia="zh-CN"/>
              </w:rPr>
              <w:t>-</w:t>
            </w:r>
            <w:r>
              <w:t xml:space="preserve"> </w:t>
            </w:r>
            <w:r w:rsidRPr="00F56D23">
              <w:rPr>
                <w:rFonts w:eastAsia="CaeciliaLTStd-R"/>
                <w:sz w:val="24"/>
                <w:szCs w:val="24"/>
                <w:lang w:eastAsia="zh-CN"/>
              </w:rPr>
              <w:t>Lys137</w:t>
            </w:r>
          </w:p>
        </w:tc>
        <w:tc>
          <w:tcPr>
            <w:tcW w:w="1860" w:type="dxa"/>
            <w:hideMark/>
          </w:tcPr>
          <w:p w:rsidR="00B43214" w:rsidRPr="00B43214" w:rsidRDefault="00B43214" w:rsidP="00B43214">
            <w:pPr>
              <w:contextualSpacing/>
              <w:jc w:val="center"/>
              <w:rPr>
                <w:rFonts w:eastAsia="CaeciliaLTStd-R"/>
                <w:sz w:val="24"/>
                <w:szCs w:val="24"/>
                <w:lang w:eastAsia="zh-CN"/>
              </w:rPr>
            </w:pPr>
            <w:r w:rsidRPr="00B43214">
              <w:rPr>
                <w:rFonts w:eastAsia="CaeciliaLTStd-R"/>
                <w:sz w:val="24"/>
                <w:szCs w:val="24"/>
                <w:lang w:eastAsia="zh-CN"/>
              </w:rPr>
              <w:t xml:space="preserve">7.11 </w:t>
            </w:r>
            <w:r w:rsidRPr="00B43214">
              <w:rPr>
                <w:rFonts w:eastAsia="PcqfvbAdvTT3713a231"/>
                <w:sz w:val="24"/>
                <w:szCs w:val="24"/>
                <w:lang w:eastAsia="zh-CN"/>
              </w:rPr>
              <w:t>± 0.02</w:t>
            </w:r>
          </w:p>
        </w:tc>
        <w:tc>
          <w:tcPr>
            <w:tcW w:w="2445" w:type="dxa"/>
            <w:hideMark/>
          </w:tcPr>
          <w:p w:rsidR="00B43214" w:rsidRPr="00B43214" w:rsidRDefault="00B43214" w:rsidP="00B43214">
            <w:pPr>
              <w:contextualSpacing/>
              <w:jc w:val="center"/>
              <w:rPr>
                <w:rFonts w:eastAsia="CaeciliaLTStd-R"/>
                <w:sz w:val="24"/>
                <w:szCs w:val="24"/>
                <w:lang w:eastAsia="zh-CN"/>
              </w:rPr>
            </w:pPr>
            <w:r w:rsidRPr="00B43214">
              <w:rPr>
                <w:rFonts w:eastAsia="CaeciliaLTStd-R"/>
                <w:sz w:val="24"/>
                <w:szCs w:val="24"/>
                <w:lang w:eastAsia="zh-CN"/>
              </w:rPr>
              <w:t xml:space="preserve">8.5  </w:t>
            </w:r>
            <w:r w:rsidRPr="00B43214">
              <w:rPr>
                <w:rFonts w:eastAsia="PcqfvbAdvTT3713a231"/>
                <w:sz w:val="24"/>
                <w:szCs w:val="24"/>
                <w:lang w:eastAsia="zh-CN"/>
              </w:rPr>
              <w:t>± 1.4</w:t>
            </w:r>
          </w:p>
        </w:tc>
        <w:tc>
          <w:tcPr>
            <w:tcW w:w="2553" w:type="dxa"/>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 xml:space="preserve">5.63 </w:t>
            </w:r>
            <w:r w:rsidRPr="00B43214">
              <w:rPr>
                <w:rFonts w:eastAsia="PcqfvbAdvTT3713a231"/>
                <w:sz w:val="24"/>
                <w:szCs w:val="24"/>
                <w:lang w:eastAsia="zh-CN"/>
              </w:rPr>
              <w:t>± 1.04</w:t>
            </w:r>
          </w:p>
        </w:tc>
      </w:tr>
      <w:tr w:rsidR="00F56D23" w:rsidRPr="00B43214" w:rsidTr="00B43214">
        <w:tc>
          <w:tcPr>
            <w:tcW w:w="2718" w:type="dxa"/>
          </w:tcPr>
          <w:p w:rsidR="00F56D23" w:rsidRPr="00F56D23" w:rsidRDefault="00F56D23" w:rsidP="00F56D23">
            <w:pPr>
              <w:spacing w:line="360" w:lineRule="auto"/>
              <w:contextualSpacing/>
              <w:jc w:val="center"/>
              <w:rPr>
                <w:rFonts w:eastAsia="CaeciliaLTStd-R"/>
                <w:sz w:val="24"/>
                <w:szCs w:val="24"/>
                <w:lang w:eastAsia="zh-CN"/>
              </w:rPr>
            </w:pPr>
            <w:r w:rsidRPr="00F56D23">
              <w:rPr>
                <w:rFonts w:eastAsia="CaeciliaLTStd-R"/>
                <w:sz w:val="24"/>
                <w:szCs w:val="24"/>
                <w:lang w:eastAsia="zh-CN"/>
              </w:rPr>
              <w:t>Thr292</w:t>
            </w:r>
            <w:r>
              <w:rPr>
                <w:rFonts w:eastAsia="CaeciliaLTStd-R"/>
                <w:sz w:val="24"/>
                <w:szCs w:val="24"/>
                <w:lang w:eastAsia="zh-CN"/>
              </w:rPr>
              <w:t>-</w:t>
            </w:r>
            <w:r>
              <w:t xml:space="preserve"> </w:t>
            </w:r>
            <w:r w:rsidRPr="00F56D23">
              <w:rPr>
                <w:rFonts w:eastAsia="CaeciliaLTStd-R"/>
                <w:sz w:val="24"/>
                <w:szCs w:val="24"/>
                <w:lang w:eastAsia="zh-CN"/>
              </w:rPr>
              <w:t>Thr199</w:t>
            </w:r>
          </w:p>
        </w:tc>
        <w:tc>
          <w:tcPr>
            <w:tcW w:w="1860" w:type="dxa"/>
          </w:tcPr>
          <w:p w:rsidR="00F56D23" w:rsidRPr="00B43214" w:rsidRDefault="002529D8" w:rsidP="00B43214">
            <w:pPr>
              <w:contextualSpacing/>
              <w:jc w:val="center"/>
              <w:rPr>
                <w:rFonts w:eastAsia="CaeciliaLTStd-R"/>
                <w:sz w:val="24"/>
                <w:szCs w:val="24"/>
                <w:lang w:eastAsia="zh-CN"/>
              </w:rPr>
            </w:pPr>
            <w:r>
              <w:rPr>
                <w:rFonts w:eastAsia="CaeciliaLTStd-R"/>
                <w:sz w:val="24"/>
                <w:szCs w:val="24"/>
                <w:lang w:eastAsia="zh-CN"/>
              </w:rPr>
              <w:t>5.109 ± 0</w:t>
            </w:r>
            <w:r w:rsidRPr="002529D8">
              <w:rPr>
                <w:rFonts w:eastAsia="CaeciliaLTStd-R"/>
                <w:sz w:val="24"/>
                <w:szCs w:val="24"/>
                <w:lang w:eastAsia="zh-CN"/>
              </w:rPr>
              <w:t>.440</w:t>
            </w:r>
          </w:p>
        </w:tc>
        <w:tc>
          <w:tcPr>
            <w:tcW w:w="2445" w:type="dxa"/>
          </w:tcPr>
          <w:p w:rsidR="00F56D23" w:rsidRPr="00B43214" w:rsidRDefault="002529D8" w:rsidP="00B43214">
            <w:pPr>
              <w:contextualSpacing/>
              <w:jc w:val="center"/>
              <w:rPr>
                <w:rFonts w:eastAsia="CaeciliaLTStd-R"/>
                <w:sz w:val="24"/>
                <w:szCs w:val="24"/>
                <w:lang w:eastAsia="zh-CN"/>
              </w:rPr>
            </w:pPr>
            <w:r>
              <w:rPr>
                <w:rFonts w:eastAsia="CaeciliaLTStd-R"/>
                <w:sz w:val="24"/>
                <w:szCs w:val="24"/>
                <w:lang w:eastAsia="zh-CN"/>
              </w:rPr>
              <w:t>6.039 ± 0.9</w:t>
            </w:r>
            <w:r w:rsidRPr="002529D8">
              <w:rPr>
                <w:rFonts w:eastAsia="CaeciliaLTStd-R"/>
                <w:sz w:val="24"/>
                <w:szCs w:val="24"/>
                <w:lang w:eastAsia="zh-CN"/>
              </w:rPr>
              <w:t>40</w:t>
            </w:r>
          </w:p>
        </w:tc>
        <w:tc>
          <w:tcPr>
            <w:tcW w:w="2553" w:type="dxa"/>
          </w:tcPr>
          <w:p w:rsidR="00F56D23" w:rsidRPr="00B43214" w:rsidRDefault="002529D8" w:rsidP="00B43214">
            <w:pPr>
              <w:contextualSpacing/>
              <w:jc w:val="center"/>
              <w:rPr>
                <w:rFonts w:eastAsia="CaeciliaLTStd-R"/>
                <w:color w:val="000000"/>
                <w:sz w:val="24"/>
                <w:szCs w:val="24"/>
                <w:lang w:eastAsia="zh-CN"/>
              </w:rPr>
            </w:pPr>
            <w:r>
              <w:rPr>
                <w:rFonts w:eastAsia="CaeciliaLTStd-R"/>
                <w:color w:val="000000"/>
                <w:sz w:val="24"/>
                <w:szCs w:val="24"/>
                <w:lang w:eastAsia="zh-CN"/>
              </w:rPr>
              <w:t>4.110 ± 0.23</w:t>
            </w:r>
            <w:r w:rsidRPr="002529D8">
              <w:rPr>
                <w:rFonts w:eastAsia="CaeciliaLTStd-R"/>
                <w:color w:val="000000"/>
                <w:sz w:val="24"/>
                <w:szCs w:val="24"/>
                <w:lang w:eastAsia="zh-CN"/>
              </w:rPr>
              <w:t>0</w:t>
            </w:r>
          </w:p>
        </w:tc>
      </w:tr>
      <w:tr w:rsidR="00F56D23" w:rsidRPr="00B43214" w:rsidTr="00B43214">
        <w:tc>
          <w:tcPr>
            <w:tcW w:w="2718" w:type="dxa"/>
          </w:tcPr>
          <w:p w:rsidR="00F56D23" w:rsidRPr="00F56D23" w:rsidRDefault="00F56D23" w:rsidP="00F56D23">
            <w:pPr>
              <w:spacing w:line="360" w:lineRule="auto"/>
              <w:contextualSpacing/>
              <w:jc w:val="center"/>
              <w:rPr>
                <w:rFonts w:eastAsia="CaeciliaLTStd-R"/>
                <w:sz w:val="24"/>
                <w:szCs w:val="24"/>
                <w:lang w:eastAsia="zh-CN"/>
              </w:rPr>
            </w:pPr>
            <w:r w:rsidRPr="00F56D23">
              <w:rPr>
                <w:rFonts w:eastAsia="CaeciliaLTStd-R"/>
                <w:sz w:val="24"/>
                <w:szCs w:val="24"/>
                <w:lang w:eastAsia="zh-CN"/>
              </w:rPr>
              <w:t>Ile200</w:t>
            </w:r>
            <w:r>
              <w:rPr>
                <w:rFonts w:eastAsia="CaeciliaLTStd-R"/>
                <w:sz w:val="24"/>
                <w:szCs w:val="24"/>
                <w:lang w:eastAsia="zh-CN"/>
              </w:rPr>
              <w:t>-</w:t>
            </w:r>
            <w:r>
              <w:t xml:space="preserve"> </w:t>
            </w:r>
            <w:r w:rsidRPr="00F56D23">
              <w:rPr>
                <w:rFonts w:eastAsia="CaeciliaLTStd-R"/>
                <w:sz w:val="24"/>
                <w:szCs w:val="24"/>
                <w:lang w:eastAsia="zh-CN"/>
              </w:rPr>
              <w:t>Leu272</w:t>
            </w:r>
          </w:p>
        </w:tc>
        <w:tc>
          <w:tcPr>
            <w:tcW w:w="1860" w:type="dxa"/>
          </w:tcPr>
          <w:p w:rsidR="00F56D23" w:rsidRPr="00B43214" w:rsidRDefault="002529D8" w:rsidP="00B43214">
            <w:pPr>
              <w:contextualSpacing/>
              <w:jc w:val="center"/>
              <w:rPr>
                <w:rFonts w:eastAsia="CaeciliaLTStd-R"/>
                <w:sz w:val="24"/>
                <w:szCs w:val="24"/>
                <w:lang w:eastAsia="zh-CN"/>
              </w:rPr>
            </w:pPr>
            <w:r>
              <w:rPr>
                <w:rFonts w:eastAsia="CaeciliaLTStd-R"/>
                <w:sz w:val="24"/>
                <w:szCs w:val="24"/>
                <w:lang w:eastAsia="zh-CN"/>
              </w:rPr>
              <w:t>7.213 ± 0.01</w:t>
            </w:r>
            <w:r w:rsidRPr="002529D8">
              <w:rPr>
                <w:rFonts w:eastAsia="CaeciliaLTStd-R"/>
                <w:sz w:val="24"/>
                <w:szCs w:val="24"/>
                <w:lang w:eastAsia="zh-CN"/>
              </w:rPr>
              <w:t>8</w:t>
            </w:r>
          </w:p>
        </w:tc>
        <w:tc>
          <w:tcPr>
            <w:tcW w:w="2445" w:type="dxa"/>
          </w:tcPr>
          <w:p w:rsidR="00F56D23" w:rsidRPr="00B43214" w:rsidRDefault="002529D8" w:rsidP="00B43214">
            <w:pPr>
              <w:contextualSpacing/>
              <w:jc w:val="center"/>
              <w:rPr>
                <w:rFonts w:eastAsia="CaeciliaLTStd-R"/>
                <w:sz w:val="24"/>
                <w:szCs w:val="24"/>
                <w:lang w:eastAsia="zh-CN"/>
              </w:rPr>
            </w:pPr>
            <w:r>
              <w:rPr>
                <w:rFonts w:eastAsia="CaeciliaLTStd-R"/>
                <w:sz w:val="24"/>
                <w:szCs w:val="24"/>
                <w:lang w:eastAsia="zh-CN"/>
              </w:rPr>
              <w:t>9.216</w:t>
            </w:r>
            <w:r w:rsidRPr="002529D8">
              <w:rPr>
                <w:rFonts w:eastAsia="CaeciliaLTStd-R"/>
                <w:sz w:val="24"/>
                <w:szCs w:val="24"/>
                <w:lang w:eastAsia="zh-CN"/>
              </w:rPr>
              <w:t xml:space="preserve"> </w:t>
            </w:r>
            <w:r>
              <w:rPr>
                <w:rFonts w:eastAsia="CaeciliaLTStd-R"/>
                <w:sz w:val="24"/>
                <w:szCs w:val="24"/>
                <w:lang w:eastAsia="zh-CN"/>
              </w:rPr>
              <w:t>± 0.21</w:t>
            </w:r>
            <w:r w:rsidRPr="002529D8">
              <w:rPr>
                <w:rFonts w:eastAsia="CaeciliaLTStd-R"/>
                <w:sz w:val="24"/>
                <w:szCs w:val="24"/>
                <w:lang w:eastAsia="zh-CN"/>
              </w:rPr>
              <w:t>8</w:t>
            </w:r>
          </w:p>
        </w:tc>
        <w:tc>
          <w:tcPr>
            <w:tcW w:w="2553" w:type="dxa"/>
          </w:tcPr>
          <w:p w:rsidR="00F56D23" w:rsidRPr="00B43214" w:rsidRDefault="002529D8" w:rsidP="00B43214">
            <w:pPr>
              <w:contextualSpacing/>
              <w:jc w:val="center"/>
              <w:rPr>
                <w:rFonts w:eastAsia="CaeciliaLTStd-R"/>
                <w:color w:val="000000"/>
                <w:sz w:val="24"/>
                <w:szCs w:val="24"/>
                <w:lang w:eastAsia="zh-CN"/>
              </w:rPr>
            </w:pPr>
            <w:r>
              <w:rPr>
                <w:rFonts w:eastAsia="CaeciliaLTStd-R"/>
                <w:color w:val="000000"/>
                <w:sz w:val="24"/>
                <w:szCs w:val="24"/>
                <w:lang w:eastAsia="zh-CN"/>
              </w:rPr>
              <w:t>6.121 ± 0.61</w:t>
            </w:r>
            <w:r w:rsidRPr="002529D8">
              <w:rPr>
                <w:rFonts w:eastAsia="CaeciliaLTStd-R"/>
                <w:color w:val="000000"/>
                <w:sz w:val="24"/>
                <w:szCs w:val="24"/>
                <w:lang w:eastAsia="zh-CN"/>
              </w:rPr>
              <w:t>8</w:t>
            </w:r>
          </w:p>
        </w:tc>
      </w:tr>
    </w:tbl>
    <w:p w:rsidR="002529D8" w:rsidRDefault="002529D8" w:rsidP="00EB43D6">
      <w:pPr>
        <w:spacing w:line="360" w:lineRule="auto"/>
        <w:jc w:val="both"/>
        <w:rPr>
          <w:rFonts w:ascii="Times New Roman" w:hAnsi="Times New Roman" w:cs="Times New Roman"/>
          <w:sz w:val="12"/>
          <w:szCs w:val="24"/>
        </w:rPr>
      </w:pPr>
    </w:p>
    <w:p w:rsidR="00B43214" w:rsidRDefault="00B43214" w:rsidP="00EB43D6">
      <w:pPr>
        <w:spacing w:line="360" w:lineRule="auto"/>
        <w:jc w:val="both"/>
        <w:rPr>
          <w:rFonts w:ascii="Times New Roman" w:hAnsi="Times New Roman" w:cs="Times New Roman"/>
          <w:sz w:val="24"/>
          <w:szCs w:val="24"/>
        </w:rPr>
      </w:pPr>
      <w:r>
        <w:rPr>
          <w:rFonts w:ascii="Times New Roman" w:hAnsi="Times New Roman" w:cs="Times New Roman"/>
          <w:sz w:val="24"/>
          <w:szCs w:val="24"/>
        </w:rPr>
        <w:t>Table 3</w:t>
      </w:r>
      <w:r w:rsidR="00DB0719">
        <w:rPr>
          <w:rFonts w:ascii="Times New Roman" w:hAnsi="Times New Roman" w:cs="Times New Roman"/>
          <w:sz w:val="24"/>
          <w:szCs w:val="24"/>
        </w:rPr>
        <w:t xml:space="preserve"> r</w:t>
      </w:r>
      <w:r w:rsidRPr="00B43214">
        <w:rPr>
          <w:rFonts w:ascii="Times New Roman" w:hAnsi="Times New Roman" w:cs="Times New Roman"/>
          <w:sz w:val="24"/>
          <w:szCs w:val="24"/>
        </w:rPr>
        <w:t>esidues forming contacts with diferuloylmethane</w:t>
      </w:r>
      <w:r>
        <w:rPr>
          <w:rFonts w:ascii="Times New Roman" w:hAnsi="Times New Roman" w:cs="Times New Roman"/>
          <w:sz w:val="24"/>
          <w:szCs w:val="24"/>
        </w:rPr>
        <w:t xml:space="preserve"> polyphenol</w:t>
      </w:r>
      <w:r w:rsidRPr="00B43214">
        <w:rPr>
          <w:rFonts w:ascii="Times New Roman" w:hAnsi="Times New Roman" w:cs="Times New Roman"/>
          <w:sz w:val="24"/>
          <w:szCs w:val="24"/>
        </w:rPr>
        <w:t xml:space="preserve">, demethoxycurcumin </w:t>
      </w:r>
      <w:r>
        <w:rPr>
          <w:rFonts w:ascii="Times New Roman" w:hAnsi="Times New Roman" w:cs="Times New Roman"/>
          <w:sz w:val="24"/>
          <w:szCs w:val="24"/>
        </w:rPr>
        <w:t xml:space="preserve">polyphenol </w:t>
      </w:r>
      <w:r w:rsidRPr="00B43214">
        <w:rPr>
          <w:rFonts w:ascii="Times New Roman" w:hAnsi="Times New Roman" w:cs="Times New Roman"/>
          <w:sz w:val="24"/>
          <w:szCs w:val="24"/>
        </w:rPr>
        <w:t>and bisdemethoxycurcumin</w:t>
      </w:r>
      <w:r>
        <w:rPr>
          <w:rFonts w:ascii="Times New Roman" w:hAnsi="Times New Roman" w:cs="Times New Roman"/>
          <w:sz w:val="24"/>
          <w:szCs w:val="24"/>
        </w:rPr>
        <w:t xml:space="preserve"> polyphenol</w:t>
      </w:r>
      <w:r w:rsidRPr="00B43214">
        <w:rPr>
          <w:rFonts w:ascii="Times New Roman" w:hAnsi="Times New Roman" w:cs="Times New Roman"/>
          <w:sz w:val="24"/>
          <w:szCs w:val="24"/>
        </w:rPr>
        <w:t xml:space="preserve"> in binary complexes.</w:t>
      </w:r>
    </w:p>
    <w:tbl>
      <w:tblPr>
        <w:tblStyle w:val="TableGrid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1890"/>
        <w:gridCol w:w="2430"/>
        <w:gridCol w:w="2520"/>
      </w:tblGrid>
      <w:tr w:rsidR="00B43214" w:rsidRPr="00B43214" w:rsidTr="00DB0719">
        <w:tc>
          <w:tcPr>
            <w:tcW w:w="2718" w:type="dxa"/>
            <w:tcBorders>
              <w:top w:val="single" w:sz="12" w:space="0" w:color="auto"/>
              <w:bottom w:val="single" w:sz="12" w:space="0" w:color="auto"/>
            </w:tcBorders>
          </w:tcPr>
          <w:p w:rsidR="00B43214" w:rsidRPr="00B43214" w:rsidRDefault="00B43214" w:rsidP="00B43214">
            <w:pPr>
              <w:contextualSpacing/>
              <w:jc w:val="center"/>
              <w:rPr>
                <w:rFonts w:eastAsia="PcqfvbAdvTT3713a231"/>
                <w:color w:val="131413"/>
                <w:sz w:val="24"/>
                <w:szCs w:val="24"/>
                <w:lang w:eastAsia="zh-CN"/>
              </w:rPr>
            </w:pPr>
          </w:p>
          <w:p w:rsidR="00B43214" w:rsidRPr="00B43214" w:rsidRDefault="00B43214" w:rsidP="00B43214">
            <w:pPr>
              <w:contextualSpacing/>
              <w:jc w:val="center"/>
              <w:rPr>
                <w:rFonts w:eastAsia="Arial"/>
                <w:sz w:val="24"/>
                <w:szCs w:val="24"/>
              </w:rPr>
            </w:pPr>
            <w:r w:rsidRPr="00B43214">
              <w:rPr>
                <w:rFonts w:eastAsia="PcqfvbAdvTT3713a231"/>
                <w:color w:val="131413"/>
                <w:sz w:val="24"/>
                <w:szCs w:val="24"/>
                <w:lang w:eastAsia="zh-CN"/>
              </w:rPr>
              <w:t>Residues</w:t>
            </w:r>
          </w:p>
          <w:p w:rsidR="00B43214" w:rsidRPr="00B43214" w:rsidRDefault="00B43214" w:rsidP="00B43214">
            <w:pPr>
              <w:contextualSpacing/>
              <w:jc w:val="center"/>
              <w:rPr>
                <w:rFonts w:eastAsia="PcqfvbAdvTT3713a231"/>
                <w:color w:val="131413"/>
                <w:sz w:val="24"/>
                <w:szCs w:val="24"/>
                <w:lang w:eastAsia="zh-CN"/>
              </w:rPr>
            </w:pPr>
          </w:p>
        </w:tc>
        <w:tc>
          <w:tcPr>
            <w:tcW w:w="1890" w:type="dxa"/>
            <w:tcBorders>
              <w:top w:val="single" w:sz="12" w:space="0" w:color="auto"/>
              <w:bottom w:val="single" w:sz="12" w:space="0" w:color="auto"/>
            </w:tcBorders>
            <w:hideMark/>
          </w:tcPr>
          <w:p w:rsidR="00B43214" w:rsidRPr="00B43214" w:rsidRDefault="00B43214" w:rsidP="00B43214">
            <w:pPr>
              <w:contextualSpacing/>
              <w:jc w:val="center"/>
              <w:rPr>
                <w:rFonts w:eastAsia="PcqfvbAdvTT3713a231"/>
                <w:color w:val="131413"/>
                <w:sz w:val="24"/>
                <w:szCs w:val="24"/>
                <w:lang w:eastAsia="zh-CN"/>
              </w:rPr>
            </w:pPr>
            <w:r w:rsidRPr="00B43214">
              <w:rPr>
                <w:rFonts w:eastAsia="CaeciliaLTStd-R"/>
                <w:color w:val="000000"/>
                <w:sz w:val="24"/>
                <w:szCs w:val="24"/>
                <w:lang w:eastAsia="zh-CN"/>
              </w:rPr>
              <w:t>Enzyme-D</w:t>
            </w:r>
            <w:r w:rsidRPr="00B43214">
              <w:rPr>
                <w:color w:val="000000"/>
                <w:sz w:val="24"/>
                <w:szCs w:val="24"/>
                <w:lang w:eastAsia="zh-CN"/>
              </w:rPr>
              <w:t>emethoxycurcumin</w:t>
            </w:r>
            <w:r w:rsidRPr="00B43214">
              <w:rPr>
                <w:rFonts w:eastAsia="CaeciliaLTStd-R"/>
                <w:color w:val="000000"/>
                <w:sz w:val="24"/>
                <w:szCs w:val="24"/>
                <w:lang w:eastAsia="zh-CN"/>
              </w:rPr>
              <w:t xml:space="preserve"> complex</w:t>
            </w:r>
          </w:p>
        </w:tc>
        <w:tc>
          <w:tcPr>
            <w:tcW w:w="2430" w:type="dxa"/>
            <w:tcBorders>
              <w:top w:val="single" w:sz="12" w:space="0" w:color="auto"/>
              <w:bottom w:val="single" w:sz="12" w:space="0" w:color="auto"/>
            </w:tcBorders>
            <w:hideMark/>
          </w:tcPr>
          <w:p w:rsidR="00B43214" w:rsidRPr="00B43214" w:rsidRDefault="00B43214" w:rsidP="00B43214">
            <w:pPr>
              <w:contextualSpacing/>
              <w:jc w:val="center"/>
              <w:rPr>
                <w:rFonts w:eastAsia="PcqfvbAdvTT3713a231"/>
                <w:color w:val="131413"/>
                <w:sz w:val="24"/>
                <w:szCs w:val="24"/>
                <w:lang w:eastAsia="zh-CN"/>
              </w:rPr>
            </w:pPr>
            <w:r w:rsidRPr="00B43214">
              <w:rPr>
                <w:rFonts w:eastAsia="CaeciliaLTStd-R"/>
                <w:color w:val="000000"/>
                <w:sz w:val="24"/>
                <w:szCs w:val="24"/>
                <w:lang w:eastAsia="zh-CN"/>
              </w:rPr>
              <w:t>Enzyme Bis</w:t>
            </w:r>
            <w:r w:rsidRPr="00B43214">
              <w:rPr>
                <w:color w:val="000000"/>
                <w:sz w:val="24"/>
                <w:szCs w:val="24"/>
                <w:lang w:eastAsia="zh-CN"/>
              </w:rPr>
              <w:t>demethoxycurcumin</w:t>
            </w:r>
            <w:r w:rsidRPr="00B43214">
              <w:rPr>
                <w:rFonts w:eastAsia="CaeciliaLTStd-R"/>
                <w:color w:val="000000"/>
                <w:sz w:val="24"/>
                <w:szCs w:val="24"/>
                <w:lang w:eastAsia="zh-CN"/>
              </w:rPr>
              <w:t xml:space="preserve"> complex</w:t>
            </w:r>
          </w:p>
        </w:tc>
        <w:tc>
          <w:tcPr>
            <w:tcW w:w="2520" w:type="dxa"/>
            <w:tcBorders>
              <w:top w:val="single" w:sz="12" w:space="0" w:color="auto"/>
              <w:bottom w:val="single" w:sz="12" w:space="0" w:color="auto"/>
            </w:tcBorders>
            <w:hideMark/>
          </w:tcPr>
          <w:p w:rsidR="00B43214" w:rsidRPr="00B43214" w:rsidRDefault="00B43214" w:rsidP="00B43214">
            <w:pPr>
              <w:contextualSpacing/>
              <w:jc w:val="center"/>
              <w:rPr>
                <w:rFonts w:eastAsia="CaeciliaLTStd-R"/>
                <w:color w:val="000000"/>
                <w:sz w:val="24"/>
                <w:szCs w:val="24"/>
                <w:lang w:eastAsia="zh-CN"/>
              </w:rPr>
            </w:pPr>
            <w:r w:rsidRPr="00B43214">
              <w:rPr>
                <w:rFonts w:eastAsia="CaeciliaLTStd-R"/>
                <w:color w:val="000000"/>
                <w:sz w:val="24"/>
                <w:szCs w:val="24"/>
                <w:lang w:eastAsia="zh-CN"/>
              </w:rPr>
              <w:t>Enzyme-</w:t>
            </w:r>
            <w:r w:rsidRPr="00B43214">
              <w:rPr>
                <w:color w:val="000000"/>
                <w:sz w:val="24"/>
                <w:szCs w:val="24"/>
                <w:lang w:eastAsia="zh-CN"/>
              </w:rPr>
              <w:t>diferuloylmethane</w:t>
            </w:r>
            <w:r w:rsidRPr="00B43214">
              <w:rPr>
                <w:rFonts w:eastAsia="CaeciliaLTStd-R"/>
                <w:color w:val="000000"/>
                <w:sz w:val="24"/>
                <w:szCs w:val="24"/>
                <w:lang w:eastAsia="zh-CN"/>
              </w:rPr>
              <w:t xml:space="preserve"> complex</w:t>
            </w:r>
          </w:p>
        </w:tc>
      </w:tr>
      <w:tr w:rsidR="00B43214" w:rsidRPr="00B43214" w:rsidTr="00DB0719">
        <w:tc>
          <w:tcPr>
            <w:tcW w:w="2718" w:type="dxa"/>
            <w:tcBorders>
              <w:top w:val="single" w:sz="12" w:space="0" w:color="auto"/>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Gln192</w:t>
            </w:r>
          </w:p>
        </w:tc>
        <w:tc>
          <w:tcPr>
            <w:tcW w:w="1890" w:type="dxa"/>
            <w:tcBorders>
              <w:top w:val="single" w:sz="12" w:space="0" w:color="auto"/>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0.70  ±  0.01</w:t>
            </w:r>
          </w:p>
        </w:tc>
        <w:tc>
          <w:tcPr>
            <w:tcW w:w="2430" w:type="dxa"/>
            <w:tcBorders>
              <w:top w:val="single" w:sz="12" w:space="0" w:color="auto"/>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0.85  ±  0.01</w:t>
            </w:r>
          </w:p>
        </w:tc>
        <w:tc>
          <w:tcPr>
            <w:tcW w:w="2520" w:type="dxa"/>
            <w:tcBorders>
              <w:top w:val="single" w:sz="12" w:space="0" w:color="auto"/>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0.45  ±  0.02</w:t>
            </w:r>
          </w:p>
        </w:tc>
      </w:tr>
      <w:tr w:rsidR="00B43214" w:rsidRPr="00B43214" w:rsidTr="00DB0719">
        <w:tc>
          <w:tcPr>
            <w:tcW w:w="2718"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Leu167</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0.90  ±  0.03</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0.98  ±  0.004</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0.60  ±  0.05</w:t>
            </w:r>
          </w:p>
        </w:tc>
      </w:tr>
      <w:tr w:rsidR="00B43214" w:rsidRPr="00B43214" w:rsidTr="00DB0719">
        <w:tc>
          <w:tcPr>
            <w:tcW w:w="2718" w:type="dxa"/>
            <w:tcBorders>
              <w:top w:val="nil"/>
              <w:bottom w:val="nil"/>
            </w:tcBorders>
            <w:hideMark/>
          </w:tcPr>
          <w:p w:rsidR="00B43214" w:rsidRPr="002529D8"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Tyr239</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0.60  ±  0..07</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0.80  ±  0.01</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0.30  ±  0.01</w:t>
            </w:r>
          </w:p>
        </w:tc>
      </w:tr>
      <w:tr w:rsidR="00B43214" w:rsidRPr="00B43214" w:rsidTr="00DB0719">
        <w:tc>
          <w:tcPr>
            <w:tcW w:w="2718" w:type="dxa"/>
            <w:tcBorders>
              <w:top w:val="nil"/>
              <w:bottom w:val="nil"/>
            </w:tcBorders>
            <w:hideMark/>
          </w:tcPr>
          <w:p w:rsidR="00B43214" w:rsidRPr="002529D8"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Asp289</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Arial"/>
                <w:sz w:val="24"/>
                <w:szCs w:val="24"/>
              </w:rPr>
              <w:t xml:space="preserve">0.70  </w:t>
            </w:r>
            <w:r w:rsidRPr="00B43214">
              <w:rPr>
                <w:rFonts w:eastAsia="PcqfvbAdvTT3713a231"/>
                <w:sz w:val="24"/>
                <w:szCs w:val="24"/>
                <w:lang w:eastAsia="zh-CN"/>
              </w:rPr>
              <w:t>±  0.19</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0.90  ±  0.004</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0.60  ± 0.1</w:t>
            </w:r>
          </w:p>
        </w:tc>
      </w:tr>
      <w:tr w:rsidR="00B43214" w:rsidRPr="00B43214" w:rsidTr="00DB0719">
        <w:tc>
          <w:tcPr>
            <w:tcW w:w="2718" w:type="dxa"/>
            <w:tcBorders>
              <w:top w:val="nil"/>
              <w:bottom w:val="nil"/>
            </w:tcBorders>
            <w:hideMark/>
          </w:tcPr>
          <w:p w:rsidR="00B43214" w:rsidRPr="002529D8" w:rsidRDefault="00B43214" w:rsidP="00B43214">
            <w:pPr>
              <w:contextualSpacing/>
              <w:jc w:val="center"/>
              <w:rPr>
                <w:rFonts w:eastAsia="PcqfvbAdvTT3713a231"/>
                <w:sz w:val="24"/>
                <w:szCs w:val="24"/>
                <w:lang w:eastAsia="zh-CN"/>
              </w:rPr>
            </w:pPr>
            <w:r w:rsidRPr="002529D8">
              <w:rPr>
                <w:rFonts w:eastAsia="PcqfvbAdvTT3713a231"/>
                <w:sz w:val="24"/>
                <w:szCs w:val="24"/>
                <w:lang w:eastAsia="zh-CN"/>
              </w:rPr>
              <w:t>Arg188</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0.75  ±  0.011</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0.80  ±  0.05</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0.73  ±  0.09</w:t>
            </w:r>
          </w:p>
        </w:tc>
      </w:tr>
      <w:tr w:rsidR="00B43214" w:rsidRPr="00B43214" w:rsidTr="00DB0719">
        <w:trPr>
          <w:trHeight w:val="376"/>
        </w:trPr>
        <w:tc>
          <w:tcPr>
            <w:tcW w:w="2718" w:type="dxa"/>
            <w:tcBorders>
              <w:top w:val="nil"/>
              <w:bottom w:val="nil"/>
            </w:tcBorders>
            <w:hideMark/>
          </w:tcPr>
          <w:p w:rsidR="00B43214" w:rsidRPr="002529D8" w:rsidRDefault="00B43214" w:rsidP="00B43214">
            <w:pPr>
              <w:contextualSpacing/>
              <w:jc w:val="center"/>
              <w:rPr>
                <w:rFonts w:eastAsia="PcqfvbAdvTT3713a231"/>
                <w:sz w:val="24"/>
                <w:szCs w:val="24"/>
                <w:lang w:eastAsia="zh-CN"/>
              </w:rPr>
            </w:pPr>
            <w:r w:rsidRPr="002529D8">
              <w:rPr>
                <w:rFonts w:eastAsia="PcqfvbAdvTT3713a231"/>
                <w:sz w:val="24"/>
                <w:szCs w:val="24"/>
                <w:lang w:eastAsia="zh-CN"/>
              </w:rPr>
              <w:t>Glu166</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0.80  ±  0.04</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0.80  ±  0.01</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0.90  ±  0.01</w:t>
            </w:r>
          </w:p>
        </w:tc>
      </w:tr>
      <w:tr w:rsidR="00B43214" w:rsidRPr="00B43214" w:rsidTr="00DB0719">
        <w:tc>
          <w:tcPr>
            <w:tcW w:w="2718" w:type="dxa"/>
            <w:tcBorders>
              <w:top w:val="nil"/>
              <w:bottom w:val="nil"/>
            </w:tcBorders>
            <w:hideMark/>
          </w:tcPr>
          <w:p w:rsidR="00B43214" w:rsidRPr="002529D8"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Glu288</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0.06</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0.50  ±  0.01</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0.60  ±  0.12</w:t>
            </w:r>
          </w:p>
        </w:tc>
      </w:tr>
      <w:tr w:rsidR="00B43214" w:rsidRPr="00B43214" w:rsidTr="00DB0719">
        <w:tc>
          <w:tcPr>
            <w:tcW w:w="2718"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His114</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0.00</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0.00</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0.50  ±  0.03</w:t>
            </w:r>
          </w:p>
        </w:tc>
      </w:tr>
      <w:tr w:rsidR="00B43214" w:rsidRPr="00B43214" w:rsidTr="00DB0719">
        <w:trPr>
          <w:trHeight w:val="330"/>
        </w:trPr>
        <w:tc>
          <w:tcPr>
            <w:tcW w:w="2718" w:type="dxa"/>
            <w:tcBorders>
              <w:top w:val="nil"/>
              <w:bottom w:val="nil"/>
            </w:tcBorders>
            <w:hideMark/>
          </w:tcPr>
          <w:p w:rsidR="00B43214" w:rsidRPr="00B43214"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Gln189</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Arial"/>
                <w:sz w:val="24"/>
                <w:szCs w:val="24"/>
              </w:rPr>
              <w:t xml:space="preserve">0.70  </w:t>
            </w:r>
            <w:r w:rsidRPr="00B43214">
              <w:rPr>
                <w:rFonts w:eastAsia="PcqfvbAdvTT3713a231"/>
                <w:sz w:val="24"/>
                <w:szCs w:val="24"/>
                <w:lang w:eastAsia="zh-CN"/>
              </w:rPr>
              <w:t>±  0.05</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0.90  ±  0.00</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0.09</w:t>
            </w:r>
          </w:p>
        </w:tc>
      </w:tr>
      <w:tr w:rsidR="00B43214" w:rsidRPr="00B43214" w:rsidTr="00DB0719">
        <w:tc>
          <w:tcPr>
            <w:tcW w:w="2718"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Pro168</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0.30  ±  0.01</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0.00</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0.85 ±  0.05</w:t>
            </w:r>
          </w:p>
        </w:tc>
      </w:tr>
      <w:tr w:rsidR="00B43214" w:rsidRPr="00B43214" w:rsidTr="00DB0719">
        <w:tc>
          <w:tcPr>
            <w:tcW w:w="2718" w:type="dxa"/>
            <w:tcBorders>
              <w:top w:val="nil"/>
              <w:bottom w:val="nil"/>
            </w:tcBorders>
            <w:hideMark/>
          </w:tcPr>
          <w:p w:rsidR="00B43214" w:rsidRPr="00B43214" w:rsidRDefault="00B344AB" w:rsidP="00B43214">
            <w:pPr>
              <w:contextualSpacing/>
              <w:jc w:val="center"/>
              <w:rPr>
                <w:rFonts w:eastAsia="PcqfvbAdvTT3713a231"/>
                <w:sz w:val="24"/>
                <w:szCs w:val="24"/>
                <w:lang w:eastAsia="zh-CN"/>
              </w:rPr>
            </w:pPr>
            <w:r w:rsidRPr="00B344AB">
              <w:rPr>
                <w:rFonts w:eastAsia="PcqfvbAdvTT3713a231"/>
                <w:sz w:val="24"/>
                <w:szCs w:val="24"/>
                <w:lang w:eastAsia="zh-CN"/>
              </w:rPr>
              <w:t>Gln189</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0.45  ±  0.02</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0.00</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0.40  ±  0.16</w:t>
            </w:r>
          </w:p>
        </w:tc>
      </w:tr>
      <w:tr w:rsidR="00B43214" w:rsidRPr="00B43214" w:rsidTr="00DB0719">
        <w:tc>
          <w:tcPr>
            <w:tcW w:w="2718"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Cys145</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0.75  ±  0.09</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0.90  ±  0.01</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0.60  ±  0.06</w:t>
            </w:r>
          </w:p>
        </w:tc>
      </w:tr>
      <w:tr w:rsidR="00B43214" w:rsidRPr="00B43214" w:rsidTr="00DB0719">
        <w:tc>
          <w:tcPr>
            <w:tcW w:w="2718" w:type="dxa"/>
            <w:tcBorders>
              <w:top w:val="nil"/>
              <w:bottom w:val="nil"/>
            </w:tcBorders>
            <w:hideMark/>
          </w:tcPr>
          <w:p w:rsidR="00B43214" w:rsidRPr="00B43214" w:rsidRDefault="00B344AB" w:rsidP="00B43214">
            <w:pPr>
              <w:contextualSpacing/>
              <w:jc w:val="center"/>
              <w:rPr>
                <w:rFonts w:eastAsia="PcqfvbAdvTT3713a231"/>
                <w:sz w:val="24"/>
                <w:szCs w:val="24"/>
                <w:lang w:eastAsia="zh-CN"/>
              </w:rPr>
            </w:pPr>
            <w:r w:rsidRPr="00B344AB">
              <w:rPr>
                <w:rFonts w:eastAsia="PcqfvbAdvTT3713a231"/>
                <w:sz w:val="24"/>
                <w:szCs w:val="24"/>
                <w:lang w:eastAsia="zh-CN"/>
              </w:rPr>
              <w:t>Met165</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0.80  ±  0.1</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0.85  ±  0.12</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0.50.  ±  0.12</w:t>
            </w:r>
          </w:p>
        </w:tc>
      </w:tr>
      <w:tr w:rsidR="00B43214" w:rsidRPr="00B43214" w:rsidTr="00B344AB">
        <w:tc>
          <w:tcPr>
            <w:tcW w:w="2718" w:type="dxa"/>
            <w:tcBorders>
              <w:top w:val="nil"/>
              <w:bottom w:val="nil"/>
            </w:tcBorders>
            <w:hideMark/>
          </w:tcPr>
          <w:p w:rsidR="00B43214" w:rsidRPr="00B43214" w:rsidRDefault="00B344AB" w:rsidP="00B43214">
            <w:pPr>
              <w:contextualSpacing/>
              <w:jc w:val="center"/>
              <w:rPr>
                <w:rFonts w:eastAsia="PcqfvbAdvTT3713a231"/>
                <w:sz w:val="24"/>
                <w:szCs w:val="24"/>
                <w:lang w:eastAsia="zh-CN"/>
              </w:rPr>
            </w:pPr>
            <w:r w:rsidRPr="00B344AB">
              <w:rPr>
                <w:rFonts w:eastAsia="PcqfvbAdvTT3713a231"/>
                <w:sz w:val="24"/>
                <w:szCs w:val="24"/>
                <w:lang w:eastAsia="zh-CN"/>
              </w:rPr>
              <w:t>His 164</w:t>
            </w:r>
          </w:p>
        </w:tc>
        <w:tc>
          <w:tcPr>
            <w:tcW w:w="189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0.40  ±  0.00</w:t>
            </w:r>
          </w:p>
        </w:tc>
        <w:tc>
          <w:tcPr>
            <w:tcW w:w="243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0.70 ±  0.01</w:t>
            </w:r>
          </w:p>
        </w:tc>
        <w:tc>
          <w:tcPr>
            <w:tcW w:w="2520" w:type="dxa"/>
            <w:tcBorders>
              <w:top w:val="nil"/>
              <w:bottom w:val="nil"/>
            </w:tcBorders>
            <w:hideMark/>
          </w:tcPr>
          <w:p w:rsidR="00B43214" w:rsidRPr="00B43214" w:rsidRDefault="00B43214" w:rsidP="00B43214">
            <w:pPr>
              <w:contextualSpacing/>
              <w:jc w:val="center"/>
              <w:rPr>
                <w:rFonts w:eastAsia="PcqfvbAdvTT3713a231"/>
                <w:sz w:val="24"/>
                <w:szCs w:val="24"/>
                <w:lang w:eastAsia="zh-CN"/>
              </w:rPr>
            </w:pPr>
            <w:r w:rsidRPr="00B43214">
              <w:rPr>
                <w:rFonts w:eastAsia="PcqfvbAdvTT3713a231"/>
                <w:sz w:val="24"/>
                <w:szCs w:val="24"/>
                <w:lang w:eastAsia="zh-CN"/>
              </w:rPr>
              <w:t>1.00  ±  0.04</w:t>
            </w:r>
          </w:p>
        </w:tc>
      </w:tr>
      <w:tr w:rsidR="00B344AB" w:rsidRPr="00B43214" w:rsidTr="00B344AB">
        <w:tc>
          <w:tcPr>
            <w:tcW w:w="2718" w:type="dxa"/>
            <w:tcBorders>
              <w:top w:val="nil"/>
              <w:bottom w:val="nil"/>
            </w:tcBorders>
          </w:tcPr>
          <w:p w:rsidR="00B344AB" w:rsidRPr="00B43214" w:rsidRDefault="00B344AB" w:rsidP="00B43214">
            <w:pPr>
              <w:contextualSpacing/>
              <w:jc w:val="center"/>
              <w:rPr>
                <w:rFonts w:eastAsia="PcqfvbAdvTT3713a231"/>
                <w:sz w:val="24"/>
                <w:szCs w:val="24"/>
                <w:lang w:eastAsia="zh-CN"/>
              </w:rPr>
            </w:pPr>
            <w:r w:rsidRPr="00B344AB">
              <w:rPr>
                <w:rFonts w:eastAsia="PcqfvbAdvTT3713a231"/>
                <w:sz w:val="24"/>
                <w:szCs w:val="24"/>
                <w:lang w:eastAsia="zh-CN"/>
              </w:rPr>
              <w:t>Asp187</w:t>
            </w:r>
          </w:p>
        </w:tc>
        <w:tc>
          <w:tcPr>
            <w:tcW w:w="1890" w:type="dxa"/>
            <w:tcBorders>
              <w:top w:val="nil"/>
              <w:bottom w:val="nil"/>
            </w:tcBorders>
          </w:tcPr>
          <w:p w:rsidR="00B344AB" w:rsidRPr="00B43214"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0.90  ±  0.03</w:t>
            </w:r>
          </w:p>
        </w:tc>
        <w:tc>
          <w:tcPr>
            <w:tcW w:w="2430" w:type="dxa"/>
            <w:tcBorders>
              <w:top w:val="nil"/>
              <w:bottom w:val="nil"/>
            </w:tcBorders>
          </w:tcPr>
          <w:p w:rsidR="00B344AB" w:rsidRPr="00B43214"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0.90  ±  0.03</w:t>
            </w:r>
          </w:p>
        </w:tc>
        <w:tc>
          <w:tcPr>
            <w:tcW w:w="2520" w:type="dxa"/>
            <w:tcBorders>
              <w:top w:val="nil"/>
              <w:bottom w:val="nil"/>
            </w:tcBorders>
          </w:tcPr>
          <w:p w:rsidR="00B344AB" w:rsidRPr="00B43214" w:rsidRDefault="002529D8" w:rsidP="00B43214">
            <w:pPr>
              <w:contextualSpacing/>
              <w:jc w:val="center"/>
              <w:rPr>
                <w:rFonts w:eastAsia="PcqfvbAdvTT3713a231"/>
                <w:sz w:val="24"/>
                <w:szCs w:val="24"/>
                <w:lang w:eastAsia="zh-CN"/>
              </w:rPr>
            </w:pPr>
            <w:r w:rsidRPr="002529D8">
              <w:rPr>
                <w:rFonts w:eastAsia="PcqfvbAdvTT3713a231"/>
                <w:sz w:val="24"/>
                <w:szCs w:val="24"/>
                <w:lang w:eastAsia="zh-CN"/>
              </w:rPr>
              <w:t>0.90  ±  0.03</w:t>
            </w:r>
          </w:p>
        </w:tc>
      </w:tr>
      <w:tr w:rsidR="00B344AB" w:rsidRPr="00B43214" w:rsidTr="00DB0719">
        <w:tc>
          <w:tcPr>
            <w:tcW w:w="2718" w:type="dxa"/>
            <w:tcBorders>
              <w:top w:val="nil"/>
              <w:bottom w:val="single" w:sz="12" w:space="0" w:color="auto"/>
            </w:tcBorders>
          </w:tcPr>
          <w:p w:rsidR="00B344AB" w:rsidRPr="00B43214" w:rsidRDefault="00B344AB" w:rsidP="00B43214">
            <w:pPr>
              <w:contextualSpacing/>
              <w:jc w:val="center"/>
              <w:rPr>
                <w:rFonts w:eastAsia="PcqfvbAdvTT3713a231"/>
                <w:sz w:val="24"/>
                <w:szCs w:val="24"/>
                <w:lang w:eastAsia="zh-CN"/>
              </w:rPr>
            </w:pPr>
            <w:r w:rsidRPr="00B344AB">
              <w:rPr>
                <w:rFonts w:eastAsia="PcqfvbAdvTT3713a231"/>
                <w:sz w:val="24"/>
                <w:szCs w:val="24"/>
                <w:lang w:eastAsia="zh-CN"/>
              </w:rPr>
              <w:t>Arg188</w:t>
            </w:r>
          </w:p>
        </w:tc>
        <w:tc>
          <w:tcPr>
            <w:tcW w:w="1890" w:type="dxa"/>
            <w:tcBorders>
              <w:top w:val="nil"/>
              <w:bottom w:val="single" w:sz="12" w:space="0" w:color="auto"/>
            </w:tcBorders>
          </w:tcPr>
          <w:p w:rsidR="00B344AB" w:rsidRPr="00B43214" w:rsidRDefault="002529D8" w:rsidP="00B43214">
            <w:pPr>
              <w:contextualSpacing/>
              <w:jc w:val="center"/>
              <w:rPr>
                <w:rFonts w:eastAsia="PcqfvbAdvTT3713a231"/>
                <w:sz w:val="24"/>
                <w:szCs w:val="24"/>
                <w:lang w:eastAsia="zh-CN"/>
              </w:rPr>
            </w:pPr>
            <w:r>
              <w:rPr>
                <w:rFonts w:eastAsia="PcqfvbAdvTT3713a231"/>
                <w:sz w:val="24"/>
                <w:szCs w:val="24"/>
                <w:lang w:eastAsia="zh-CN"/>
              </w:rPr>
              <w:t>0.93  ±  0.12</w:t>
            </w:r>
          </w:p>
        </w:tc>
        <w:tc>
          <w:tcPr>
            <w:tcW w:w="2430" w:type="dxa"/>
            <w:tcBorders>
              <w:top w:val="nil"/>
              <w:bottom w:val="single" w:sz="12" w:space="0" w:color="auto"/>
            </w:tcBorders>
          </w:tcPr>
          <w:p w:rsidR="00B344AB" w:rsidRPr="00B43214" w:rsidRDefault="002529D8" w:rsidP="00B43214">
            <w:pPr>
              <w:contextualSpacing/>
              <w:jc w:val="center"/>
              <w:rPr>
                <w:rFonts w:eastAsia="PcqfvbAdvTT3713a231"/>
                <w:sz w:val="24"/>
                <w:szCs w:val="24"/>
                <w:lang w:eastAsia="zh-CN"/>
              </w:rPr>
            </w:pPr>
            <w:r>
              <w:rPr>
                <w:rFonts w:eastAsia="PcqfvbAdvTT3713a231"/>
                <w:sz w:val="24"/>
                <w:szCs w:val="24"/>
                <w:lang w:eastAsia="zh-CN"/>
              </w:rPr>
              <w:t>0.89  ±  0.01</w:t>
            </w:r>
          </w:p>
        </w:tc>
        <w:tc>
          <w:tcPr>
            <w:tcW w:w="2520" w:type="dxa"/>
            <w:tcBorders>
              <w:top w:val="nil"/>
              <w:bottom w:val="single" w:sz="12" w:space="0" w:color="auto"/>
            </w:tcBorders>
          </w:tcPr>
          <w:p w:rsidR="00B344AB" w:rsidRPr="00B43214" w:rsidRDefault="002529D8" w:rsidP="00B43214">
            <w:pPr>
              <w:contextualSpacing/>
              <w:jc w:val="center"/>
              <w:rPr>
                <w:rFonts w:eastAsia="PcqfvbAdvTT3713a231"/>
                <w:sz w:val="24"/>
                <w:szCs w:val="24"/>
                <w:lang w:eastAsia="zh-CN"/>
              </w:rPr>
            </w:pPr>
            <w:r>
              <w:rPr>
                <w:rFonts w:eastAsia="PcqfvbAdvTT3713a231"/>
                <w:sz w:val="24"/>
                <w:szCs w:val="24"/>
                <w:lang w:eastAsia="zh-CN"/>
              </w:rPr>
              <w:t>0.76  ±  0.2</w:t>
            </w:r>
            <w:r w:rsidRPr="002529D8">
              <w:rPr>
                <w:rFonts w:eastAsia="PcqfvbAdvTT3713a231"/>
                <w:sz w:val="24"/>
                <w:szCs w:val="24"/>
                <w:lang w:eastAsia="zh-CN"/>
              </w:rPr>
              <w:t>3</w:t>
            </w:r>
          </w:p>
        </w:tc>
      </w:tr>
    </w:tbl>
    <w:p w:rsidR="00244629" w:rsidRPr="00642B3D" w:rsidRDefault="00244629" w:rsidP="00EB43D6">
      <w:pPr>
        <w:spacing w:line="360" w:lineRule="auto"/>
        <w:jc w:val="both"/>
        <w:rPr>
          <w:rFonts w:ascii="Times New Roman" w:hAnsi="Times New Roman" w:cs="Times New Roman"/>
          <w:sz w:val="24"/>
          <w:szCs w:val="24"/>
        </w:rPr>
        <w:sectPr w:rsidR="00244629" w:rsidRPr="00642B3D" w:rsidSect="00EC330C">
          <w:type w:val="continuous"/>
          <w:pgSz w:w="12240" w:h="15840"/>
          <w:pgMar w:top="1440" w:right="1440" w:bottom="1440" w:left="1440" w:header="720" w:footer="720" w:gutter="0"/>
          <w:cols w:space="720"/>
          <w:docGrid w:linePitch="360"/>
        </w:sectPr>
      </w:pPr>
      <w:bookmarkStart w:id="0" w:name="_GoBack"/>
      <w:bookmarkEnd w:id="0"/>
    </w:p>
    <w:p w:rsidR="00826CF4" w:rsidRDefault="00826CF4" w:rsidP="00055532">
      <w:pPr>
        <w:autoSpaceDE w:val="0"/>
        <w:autoSpaceDN w:val="0"/>
        <w:adjustRightInd w:val="0"/>
        <w:spacing w:after="0" w:line="360" w:lineRule="auto"/>
        <w:jc w:val="both"/>
        <w:rPr>
          <w:color w:val="000000"/>
          <w:sz w:val="30"/>
          <w:szCs w:val="30"/>
          <w:shd w:val="clear" w:color="auto" w:fill="FFFAD2"/>
        </w:rPr>
      </w:pPr>
    </w:p>
    <w:sectPr w:rsidR="00826CF4" w:rsidSect="00EC33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cqfvbAdvTT3713a231">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eciliaLTStd-R">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0DC"/>
    <w:multiLevelType w:val="hybridMultilevel"/>
    <w:tmpl w:val="5560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772F8"/>
    <w:multiLevelType w:val="hybridMultilevel"/>
    <w:tmpl w:val="B0B2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F1EB3"/>
    <w:multiLevelType w:val="hybridMultilevel"/>
    <w:tmpl w:val="1AA8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39"/>
    <w:rsid w:val="000070B6"/>
    <w:rsid w:val="00055532"/>
    <w:rsid w:val="00077A2E"/>
    <w:rsid w:val="000A49A9"/>
    <w:rsid w:val="000A5118"/>
    <w:rsid w:val="000D3F2F"/>
    <w:rsid w:val="00111277"/>
    <w:rsid w:val="00157F81"/>
    <w:rsid w:val="001702C8"/>
    <w:rsid w:val="00177B16"/>
    <w:rsid w:val="00183A8F"/>
    <w:rsid w:val="001C672F"/>
    <w:rsid w:val="001E5FA1"/>
    <w:rsid w:val="001F6803"/>
    <w:rsid w:val="002129CB"/>
    <w:rsid w:val="00216488"/>
    <w:rsid w:val="00224BEA"/>
    <w:rsid w:val="00244629"/>
    <w:rsid w:val="002529D8"/>
    <w:rsid w:val="00256BE7"/>
    <w:rsid w:val="0026460B"/>
    <w:rsid w:val="0027222C"/>
    <w:rsid w:val="002754B5"/>
    <w:rsid w:val="002840F9"/>
    <w:rsid w:val="00313B40"/>
    <w:rsid w:val="00331306"/>
    <w:rsid w:val="00342D57"/>
    <w:rsid w:val="00367E0A"/>
    <w:rsid w:val="00375FD6"/>
    <w:rsid w:val="00395BE1"/>
    <w:rsid w:val="003B00BC"/>
    <w:rsid w:val="003D44D3"/>
    <w:rsid w:val="003E7007"/>
    <w:rsid w:val="00400542"/>
    <w:rsid w:val="00421307"/>
    <w:rsid w:val="0042377E"/>
    <w:rsid w:val="0043728E"/>
    <w:rsid w:val="004B62D1"/>
    <w:rsid w:val="005016B4"/>
    <w:rsid w:val="0050659B"/>
    <w:rsid w:val="005179F6"/>
    <w:rsid w:val="00550B5A"/>
    <w:rsid w:val="005565F0"/>
    <w:rsid w:val="0057381C"/>
    <w:rsid w:val="00582226"/>
    <w:rsid w:val="005B440B"/>
    <w:rsid w:val="005C7F9A"/>
    <w:rsid w:val="005D0EAC"/>
    <w:rsid w:val="005F671F"/>
    <w:rsid w:val="00633700"/>
    <w:rsid w:val="00642B3D"/>
    <w:rsid w:val="00643D17"/>
    <w:rsid w:val="0065018B"/>
    <w:rsid w:val="006A5369"/>
    <w:rsid w:val="006E4759"/>
    <w:rsid w:val="006E66B1"/>
    <w:rsid w:val="006F3246"/>
    <w:rsid w:val="006F7E0F"/>
    <w:rsid w:val="00732B45"/>
    <w:rsid w:val="00735E06"/>
    <w:rsid w:val="0077189B"/>
    <w:rsid w:val="007C59F4"/>
    <w:rsid w:val="007E200F"/>
    <w:rsid w:val="007F1300"/>
    <w:rsid w:val="00803921"/>
    <w:rsid w:val="00826CF4"/>
    <w:rsid w:val="00844A64"/>
    <w:rsid w:val="00875114"/>
    <w:rsid w:val="00895C47"/>
    <w:rsid w:val="008A21B4"/>
    <w:rsid w:val="008B6286"/>
    <w:rsid w:val="008E2A62"/>
    <w:rsid w:val="009071EA"/>
    <w:rsid w:val="009227E5"/>
    <w:rsid w:val="00971ACF"/>
    <w:rsid w:val="009C2752"/>
    <w:rsid w:val="009D27A0"/>
    <w:rsid w:val="009E0CAD"/>
    <w:rsid w:val="00A26ED3"/>
    <w:rsid w:val="00A373C2"/>
    <w:rsid w:val="00A66AEB"/>
    <w:rsid w:val="00AA0635"/>
    <w:rsid w:val="00AC5839"/>
    <w:rsid w:val="00AD5C00"/>
    <w:rsid w:val="00AD748D"/>
    <w:rsid w:val="00AE60C4"/>
    <w:rsid w:val="00AF6176"/>
    <w:rsid w:val="00B10B53"/>
    <w:rsid w:val="00B30700"/>
    <w:rsid w:val="00B344AB"/>
    <w:rsid w:val="00B43214"/>
    <w:rsid w:val="00B47A86"/>
    <w:rsid w:val="00B66C12"/>
    <w:rsid w:val="00B7250D"/>
    <w:rsid w:val="00B94527"/>
    <w:rsid w:val="00BB45E9"/>
    <w:rsid w:val="00BE010D"/>
    <w:rsid w:val="00BE0167"/>
    <w:rsid w:val="00BF420F"/>
    <w:rsid w:val="00C00714"/>
    <w:rsid w:val="00C12309"/>
    <w:rsid w:val="00C37605"/>
    <w:rsid w:val="00CA1858"/>
    <w:rsid w:val="00CA442B"/>
    <w:rsid w:val="00CD014B"/>
    <w:rsid w:val="00CD0D80"/>
    <w:rsid w:val="00CE4BE9"/>
    <w:rsid w:val="00CF0636"/>
    <w:rsid w:val="00D05493"/>
    <w:rsid w:val="00D36C77"/>
    <w:rsid w:val="00D37662"/>
    <w:rsid w:val="00D378BB"/>
    <w:rsid w:val="00D47E05"/>
    <w:rsid w:val="00D51D90"/>
    <w:rsid w:val="00DB0719"/>
    <w:rsid w:val="00DC46D8"/>
    <w:rsid w:val="00DE3C0E"/>
    <w:rsid w:val="00DE5847"/>
    <w:rsid w:val="00DF1C6E"/>
    <w:rsid w:val="00E32446"/>
    <w:rsid w:val="00E35504"/>
    <w:rsid w:val="00E63A71"/>
    <w:rsid w:val="00E71D09"/>
    <w:rsid w:val="00E8085F"/>
    <w:rsid w:val="00E93C48"/>
    <w:rsid w:val="00EA3828"/>
    <w:rsid w:val="00EB43D6"/>
    <w:rsid w:val="00EC330C"/>
    <w:rsid w:val="00ED774C"/>
    <w:rsid w:val="00EF004A"/>
    <w:rsid w:val="00EF5480"/>
    <w:rsid w:val="00F06412"/>
    <w:rsid w:val="00F56D23"/>
    <w:rsid w:val="00F93321"/>
    <w:rsid w:val="00FB6EF2"/>
    <w:rsid w:val="00FC1044"/>
    <w:rsid w:val="00FF1EFF"/>
    <w:rsid w:val="00FF3411"/>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6"/>
    <w:rPr>
      <w:rFonts w:ascii="Tahoma" w:hAnsi="Tahoma" w:cs="Tahoma"/>
      <w:sz w:val="16"/>
      <w:szCs w:val="16"/>
    </w:rPr>
  </w:style>
  <w:style w:type="table" w:customStyle="1" w:styleId="TableGrid1">
    <w:name w:val="Table Grid1"/>
    <w:basedOn w:val="TableNormal"/>
    <w:next w:val="TableGrid"/>
    <w:qFormat/>
    <w:rsid w:val="00B43214"/>
    <w:pPr>
      <w:spacing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qFormat/>
    <w:rsid w:val="00B43214"/>
    <w:pPr>
      <w:spacing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B6286"/>
    <w:rPr>
      <w:color w:val="0000FF"/>
      <w:u w:val="single"/>
    </w:rPr>
  </w:style>
  <w:style w:type="paragraph" w:styleId="ListParagraph">
    <w:name w:val="List Paragraph"/>
    <w:basedOn w:val="Normal"/>
    <w:uiPriority w:val="34"/>
    <w:qFormat/>
    <w:rsid w:val="005B4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6"/>
    <w:rPr>
      <w:rFonts w:ascii="Tahoma" w:hAnsi="Tahoma" w:cs="Tahoma"/>
      <w:sz w:val="16"/>
      <w:szCs w:val="16"/>
    </w:rPr>
  </w:style>
  <w:style w:type="table" w:customStyle="1" w:styleId="TableGrid1">
    <w:name w:val="Table Grid1"/>
    <w:basedOn w:val="TableNormal"/>
    <w:next w:val="TableGrid"/>
    <w:qFormat/>
    <w:rsid w:val="00B43214"/>
    <w:pPr>
      <w:spacing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qFormat/>
    <w:rsid w:val="00B43214"/>
    <w:pPr>
      <w:spacing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B6286"/>
    <w:rPr>
      <w:color w:val="0000FF"/>
      <w:u w:val="single"/>
    </w:rPr>
  </w:style>
  <w:style w:type="paragraph" w:styleId="ListParagraph">
    <w:name w:val="List Paragraph"/>
    <w:basedOn w:val="Normal"/>
    <w:uiPriority w:val="34"/>
    <w:qFormat/>
    <w:rsid w:val="005B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237">
      <w:bodyDiv w:val="1"/>
      <w:marLeft w:val="0"/>
      <w:marRight w:val="0"/>
      <w:marTop w:val="0"/>
      <w:marBottom w:val="0"/>
      <w:divBdr>
        <w:top w:val="none" w:sz="0" w:space="0" w:color="auto"/>
        <w:left w:val="none" w:sz="0" w:space="0" w:color="auto"/>
        <w:bottom w:val="none" w:sz="0" w:space="0" w:color="auto"/>
        <w:right w:val="none" w:sz="0" w:space="0" w:color="auto"/>
      </w:divBdr>
    </w:div>
    <w:div w:id="11771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Belachew</cp:lastModifiedBy>
  <cp:revision>12</cp:revision>
  <dcterms:created xsi:type="dcterms:W3CDTF">2021-03-27T13:39:00Z</dcterms:created>
  <dcterms:modified xsi:type="dcterms:W3CDTF">2021-03-30T14:57:00Z</dcterms:modified>
</cp:coreProperties>
</file>