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0" w:lineRule="auto"/>
        <w:rPr>
          <w:rFonts w:ascii="Times New Roman" w:cs="Times New Roman" w:eastAsia="Times New Roman" w:hAnsi="Times New Roman"/>
          <w:sz w:val="42"/>
          <w:szCs w:val="42"/>
        </w:rPr>
      </w:pPr>
      <w:bookmarkStart w:colFirst="0" w:colLast="0" w:name="_mfun63inwjlv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Supplemental Table 8.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Bacterial species whose abundance at week 0 was significantly different between those reporting “better” (n = 16) and “about the same” overall health (n = 10) at week 4 after diet change.</w:t>
      </w:r>
      <w:r w:rsidDel="00000000" w:rsidR="00000000" w:rsidRPr="00000000">
        <w:rPr>
          <w:rtl w:val="0"/>
        </w:rPr>
      </w:r>
    </w:p>
    <w:tbl>
      <w:tblPr>
        <w:tblStyle w:val="Table1"/>
        <w:tblW w:w="14305.37165082109" w:type="dxa"/>
        <w:jc w:val="left"/>
        <w:tblInd w:w="-6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40"/>
        <w:gridCol w:w="1230"/>
        <w:gridCol w:w="1005"/>
        <w:gridCol w:w="1275"/>
        <w:gridCol w:w="780"/>
        <w:gridCol w:w="1500"/>
        <w:gridCol w:w="2505"/>
        <w:gridCol w:w="2505"/>
        <w:gridCol w:w="1410"/>
        <w:gridCol w:w="1255.371650821089"/>
        <w:tblGridChange w:id="0">
          <w:tblGrid>
            <w:gridCol w:w="840"/>
            <w:gridCol w:w="1230"/>
            <w:gridCol w:w="1005"/>
            <w:gridCol w:w="1275"/>
            <w:gridCol w:w="780"/>
            <w:gridCol w:w="1500"/>
            <w:gridCol w:w="2505"/>
            <w:gridCol w:w="2505"/>
            <w:gridCol w:w="1410"/>
            <w:gridCol w:w="1255.371650821089"/>
          </w:tblGrid>
        </w:tblGridChange>
      </w:tblGrid>
      <w:tr>
        <w:trPr>
          <w:trHeight w:val="36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Phylum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Class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Order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Family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Genus</w: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Species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Relative abundance, in %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Median (IQR)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Better vs About the same health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Baseline</w:t>
            </w:r>
          </w:p>
        </w:tc>
      </w:tr>
      <w:tr>
        <w:trPr>
          <w:trHeight w:val="3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Better overall health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(n=16)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About the same overall health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(n=10)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Log 2 FC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mean ± 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Adjusted 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8"/>
                <w:szCs w:val="18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-value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superscript"/>
                <w:rtl w:val="0"/>
              </w:rPr>
              <w:t xml:space="preserve">1</w:t>
            </w:r>
          </w:p>
        </w:tc>
      </w:tr>
      <w:tr>
        <w:trPr>
          <w:trHeight w:val="240" w:hRule="atLeast"/>
        </w:trPr>
        <w:tc>
          <w:tcPr>
            <w:gridSpan w:val="10"/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Higher in “better overall health” (5 species)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Enterobacteriaceae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Enterobacter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cloacae complex sp ECNIH7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0.00E+00 (0.00E+00 - 8.03E-05)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0.00E+00 (0.00E+00 - 0.00E+00)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21.45±3.03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6.93E-10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Gammaproteobacteria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Enterobacterales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Hafniaceae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Edwardsiella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piscicida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0.00E+00 (0.00E+00 - 0.00E+00)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0.00E+00 (0.00E+00 - 0.00E+00)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21.29±3.04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6.93E-10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Deltaproteobacteria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Desulfovibrionales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Desulfovibrionaceae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Bilophila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wadsworthia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0.00E+00 (0.00E+00 - 0.00E+00)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0.00E+00 (0.00E+00 - 0.00E+00)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20.03±3.04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8.59E-09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Bacteroidetes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Bacteroidia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Bacteroidales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Bacteroidaceae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Bacteroides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vulgatus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6.47E-03 (3.90E-04 - 8.89E-02)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3.10E-03 (3.61E-04 - 7.29E-03)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5.57±1.25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1.24E-03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Bacteroidetes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Bacteroidia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Bacteroidales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Bacteroidaceae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Bacteroides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dorei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1.03E-03 (6.93E-05 - 4.83E-03)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2.16E-04 (2.39E-05 - 3.51E-04)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4.85±1.27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1.13E-02</w:t>
            </w:r>
          </w:p>
        </w:tc>
      </w:tr>
      <w:tr>
        <w:trPr>
          <w:trHeight w:val="240" w:hRule="atLeast"/>
        </w:trPr>
        <w:tc>
          <w:tcPr>
            <w:gridSpan w:val="10"/>
            <w:tcBorders>
              <w:top w:color="000000" w:space="0" w:sz="6" w:val="single"/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Lower in “better overall health” (3 species)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Clostridia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Clostridiales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Clostridiaceae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Clostridium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baratii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1.05E-04 (0.00E+00 - 2.72E-04)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2.40E-04 (0.00E+00 - 7.37E-03)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-5.51±1.39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7.48E-03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Clostridia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Clostridiales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Clostridiaceae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Clostridium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perfringens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2.19E-02 (1.89E-03 - 5.18E-02)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7.72E-02 (5.13E-03 - 2.92E-01)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-4.87±1.22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7.48E-03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Firmicutes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Clostridia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Clostridiales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Peptostreptococcaceae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no data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no data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9.39E-04 (1.44E-04 - 2.64E-03)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1.45E-03 (1.05E-03 - 2.97E-03)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-2.64±0.77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11"/>
                <w:szCs w:val="1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1"/>
                <w:szCs w:val="11"/>
                <w:rtl w:val="0"/>
              </w:rPr>
              <w:t xml:space="preserve">4.48E-02</w:t>
            </w:r>
          </w:p>
        </w:tc>
      </w:tr>
    </w:tbl>
    <w:p w:rsidR="00000000" w:rsidDel="00000000" w:rsidP="00000000" w:rsidRDefault="00000000" w:rsidRPr="00000000" w14:paraId="00000080">
      <w:pPr>
        <w:widowControl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FC: fold change, SE: standard error, NS: not significant</w:t>
      </w:r>
    </w:p>
    <w:p w:rsidR="00000000" w:rsidDel="00000000" w:rsidP="00000000" w:rsidRDefault="00000000" w:rsidRPr="00000000" w14:paraId="00000081">
      <w:pPr>
        <w:widowControl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 values were adjusted with false discovery rate for multiple comparisons</w:t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