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b/>
          <w:sz w:val="24"/>
          <w:szCs w:val="24"/>
          <w:lang w:val="en-US"/>
        </w:rPr>
      </w:pPr>
      <w:r>
        <w:rPr>
          <w:b/>
          <w:sz w:val="24"/>
          <w:szCs w:val="24"/>
          <w:lang w:val="en-US"/>
        </w:rPr>
        <w:t>Supporting Materials</w:t>
      </w:r>
    </w:p>
    <w:p>
      <w:pPr>
        <w:spacing w:line="360" w:lineRule="auto"/>
        <w:jc w:val="both"/>
        <w:rPr>
          <w:b/>
          <w:sz w:val="24"/>
          <w:szCs w:val="24"/>
          <w:lang w:val="en-US"/>
        </w:rPr>
      </w:pPr>
      <w:r>
        <w:rPr>
          <w:b/>
          <w:sz w:val="24"/>
          <w:szCs w:val="24"/>
          <w:lang w:val="en-US"/>
        </w:rPr>
        <w:t xml:space="preserve">Table S1. </w:t>
      </w:r>
      <w:r>
        <w:rPr>
          <w:sz w:val="24"/>
          <w:szCs w:val="24"/>
          <w:lang w:val="en-US"/>
        </w:rPr>
        <w:t>data are obtained from published and/or public sources, namely Santos et al. (2018) and GBIF and SpeciesLink biodiversity information networks. Checklists for well-sampled communities identified in this study through the analysis of  inventory completeness.</w:t>
      </w:r>
    </w:p>
    <w:tbl>
      <w:tblPr>
        <w:tblStyle w:val="3"/>
        <w:tblW w:w="2918" w:type="dxa"/>
        <w:tblCellSpacing w:w="0" w:type="dxa"/>
        <w:tblInd w:w="0" w:type="dxa"/>
        <w:tblLayout w:type="fixed"/>
        <w:tblCellMar>
          <w:top w:w="15" w:type="dxa"/>
          <w:left w:w="15" w:type="dxa"/>
          <w:bottom w:w="15" w:type="dxa"/>
          <w:right w:w="15" w:type="dxa"/>
        </w:tblCellMar>
      </w:tblPr>
      <w:tblGrid>
        <w:gridCol w:w="1433"/>
        <w:gridCol w:w="1485"/>
      </w:tblGrid>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rPr>
                <w:rFonts w:ascii="Liberation Sans" w:hAnsi="Liberation Sans" w:eastAsia="Liberation Sans" w:cs="Liberation Sans"/>
                <w:b/>
                <w:bCs/>
                <w:sz w:val="20"/>
                <w:szCs w:val="20"/>
              </w:rPr>
            </w:pPr>
            <w:r>
              <w:rPr>
                <w:rFonts w:ascii="Liberation Sans" w:hAnsi="Liberation Sans" w:eastAsia="Liberation Sans" w:cs="Liberation Sans"/>
                <w:b/>
                <w:bCs/>
                <w:sz w:val="20"/>
                <w:szCs w:val="20"/>
                <w:lang w:val="en-US" w:eastAsia="zh-CN" w:bidi="ar"/>
              </w:rPr>
              <w:t>Longitude</w:t>
            </w:r>
          </w:p>
        </w:tc>
        <w:tc>
          <w:tcPr>
            <w:tcW w:w="1485" w:type="dxa"/>
            <w:shd w:val="clear" w:color="auto" w:fill="auto"/>
            <w:vAlign w:val="center"/>
          </w:tcPr>
          <w:p>
            <w:pPr>
              <w:rPr>
                <w:rFonts w:ascii="Liberation Sans" w:hAnsi="Liberation Sans" w:eastAsia="Liberation Sans" w:cs="Liberation Sans"/>
                <w:b/>
                <w:bCs/>
                <w:sz w:val="20"/>
                <w:szCs w:val="20"/>
              </w:rPr>
            </w:pPr>
            <w:r>
              <w:rPr>
                <w:rFonts w:ascii="Liberation Sans" w:hAnsi="Liberation Sans" w:eastAsia="Liberation Sans" w:cs="Liberation Sans"/>
                <w:b/>
                <w:bCs/>
                <w:sz w:val="20"/>
                <w:szCs w:val="20"/>
                <w:lang w:val="en-US" w:eastAsia="zh-CN" w:bidi="ar"/>
              </w:rPr>
              <w:t>Latitude</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-50.36666667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-44.6129358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-22.432586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-46.94628608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-23.23589328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-48.8923108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-25.9818594</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-49.1020372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-26.8707245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-52.4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-27.05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-50.1744444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-29.4808333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-50.26666667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-29.58333333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-50.386914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-29.423669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-53.838197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-29.747514</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-49.36666667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-51.170618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-23.306445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-51.42111111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-25.40222222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-51.94305556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-23.43555556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-52.85666667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-22.61833333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-54.66666667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-27.51666667</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-50.17777778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-25.76027778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-53.84194444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-25.15444444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-48.82222222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-27.68583333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-49.117766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-26.974148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-48.820565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-26.351116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-49.121083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-26.496003</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-49.842142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-27.456714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-50.660883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-27.269972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-44.662222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-22.375278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-42.94916667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-22.49305556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-42.77166667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-22.45388889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-42.60694444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-22.40583333</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-43.20472222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-22.54416667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-43.00055556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-22.455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-42.51361111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-22.28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-43.09055556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-22.64722222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-43.22916667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-22.94611111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-43.30111111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-22.54694444</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-42.01416667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-22.54361111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-42.26666667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-22.52416667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-42.06694444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-22.43972222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-39.94888889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-18.43666667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-40.565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-19.92916667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-40.53611111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-20.04416667</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-40.09583333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-18.18361111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-40.08111111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-19.43638889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-40.56111111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-20.08222222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-40.87416667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-19.62333333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-41.06388889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-19.4675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-40.04555556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-19.14861111</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-41.84416667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-20.41916667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-42.63333333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-19.8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-43.998219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-20.004822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-46.032097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-22.877483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-46.33333333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-46.4425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-23.99861111</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-46.30388889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-23.81527778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-52.16666667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-46.93555556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-23.23111111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-46.99694444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-23.71416667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-45.33333333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-23.33333333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-47.10805556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-22.82194444</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-46.89138889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-22.93194444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-47.05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-22.93333333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-46.567749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-23.137418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-47.42861111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-21.85138889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-48.41861111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-24.27833333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-46.92361111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-22.82888889</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-47.31888889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-22.38111111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-49.50972222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-20.825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-49.58916667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-20.80638889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-45.53444444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-22.72611111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-48.51666667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-22.83333333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-21.46666667</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-47.531903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-22.421086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-47.28166667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-21.32222222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-47.271435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-20.664522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-22.43333333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-47.93333333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-25.05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-44.844806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-23.347353</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-45.100175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-23.328222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-45.17611111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-23.47861111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-47.91666667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-21.23333333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-45.52305556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-22.83833333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-45.49277778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-23.03694444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-39.71944444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-13.59527778</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-39.89222222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-18.09027778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-39.57916667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-15.71222222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-39.52333333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-15.38111111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-40.4225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-17.12694444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-39.088672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-15.173781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-39.58583333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-16.99861111</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-12.25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-35.70916667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-9.606111111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-35.86888889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-8.995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-34.94722222</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-8.010833333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-35.03666667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-7.964444444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-52.417097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-31.676944</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-43.8333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-14.9333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-49.726016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-24.305574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-50.15833333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-25.09944444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-43.96888889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-20.01027778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-47.89666667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-22.26055556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-47.10638889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-22.29916667</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-47.80695556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-21.60105556</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-47.625408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-21.623477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-47.461075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-20.240917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-48.16666667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-23.58333333</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-50.13333333</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-22.66666667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-41.25027778</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-15.51388889</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-50.611356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-29.44282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-52.432475</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-31.814044</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-49.853506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-29.364375</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-51.816454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-20.993649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-53.889069</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-27.197939</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-51.026006</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-30.369561</w:t>
            </w:r>
          </w:p>
        </w:tc>
      </w:tr>
      <w:tr>
        <w:tblPrEx>
          <w:tblLayout w:type="fixed"/>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-51.111174</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-29.559801</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-51.157301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-30.098678</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-46.57322491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-21.76992582</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-45.94766311</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-21.42964807</w:t>
            </w:r>
          </w:p>
        </w:tc>
      </w:tr>
      <w:tr>
        <w:tblPrEx>
          <w:tblLayout w:type="fixed"/>
          <w:tblCellMar>
            <w:top w:w="15" w:type="dxa"/>
            <w:left w:w="15" w:type="dxa"/>
            <w:bottom w:w="15" w:type="dxa"/>
            <w:right w:w="15" w:type="dxa"/>
          </w:tblCellMar>
        </w:tblPrEx>
        <w:trPr>
          <w:trHeight w:val="240" w:hRule="atLeast"/>
          <w:tblCellSpacing w:w="0" w:type="dxa"/>
        </w:trPr>
        <w:tc>
          <w:tcPr>
            <w:tcW w:w="1433"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-39.11666667</w:t>
            </w:r>
          </w:p>
        </w:tc>
        <w:tc>
          <w:tcPr>
            <w:tcW w:w="1485" w:type="dxa"/>
            <w:shd w:val="clear" w:color="auto" w:fill="auto"/>
            <w:vAlign w:val="center"/>
          </w:tcPr>
          <w:p>
            <w:pPr>
              <w:jc w:val="right"/>
              <w:rPr>
                <w:rFonts w:ascii="Liberation Sans" w:hAnsi="Liberation Sans" w:eastAsia="Liberation Sans" w:cs="Liberation Sans"/>
                <w:sz w:val="20"/>
                <w:szCs w:val="20"/>
              </w:rPr>
            </w:pPr>
            <w:r>
              <w:rPr>
                <w:rFonts w:ascii="Liberation Sans" w:hAnsi="Liberation Sans" w:eastAsia="Liberation Sans" w:cs="Liberation Sans"/>
                <w:sz w:val="20"/>
                <w:szCs w:val="20"/>
                <w:lang w:val="en-US" w:eastAsia="zh-CN" w:bidi="ar"/>
              </w:rPr>
              <w:t>-12.65</w:t>
            </w:r>
          </w:p>
        </w:tc>
      </w:tr>
    </w:tbl>
    <w:p>
      <w:pPr>
        <w:spacing w:line="360" w:lineRule="auto"/>
        <w:jc w:val="both"/>
        <w:rPr>
          <w:b/>
          <w:sz w:val="24"/>
          <w:szCs w:val="24"/>
          <w:lang w:val="en-US"/>
        </w:rPr>
      </w:pPr>
    </w:p>
    <w:p>
      <w:pPr>
        <w:spacing w:line="360" w:lineRule="auto"/>
        <w:jc w:val="both"/>
        <w:rPr>
          <w:b/>
          <w:sz w:val="24"/>
          <w:szCs w:val="24"/>
          <w:lang w:val="en-US"/>
        </w:rPr>
      </w:pPr>
    </w:p>
    <w:p>
      <w:pPr>
        <w:spacing w:line="360" w:lineRule="auto"/>
        <w:jc w:val="both"/>
        <w:rPr>
          <w:sz w:val="24"/>
          <w:szCs w:val="24"/>
          <w:lang w:val="pt"/>
        </w:rPr>
      </w:pPr>
      <w:r>
        <w:rPr>
          <w:sz w:val="24"/>
          <w:szCs w:val="24"/>
          <w:lang w:val="pt-BR" w:eastAsia="pt-BR"/>
        </w:rPr>
        <w:drawing>
          <wp:inline distT="0" distB="0" distL="114300" distR="114300">
            <wp:extent cx="5729605" cy="5164455"/>
            <wp:effectExtent l="0" t="0" r="4445" b="17145"/>
            <wp:docPr id="6" name="Picture 6" descr="Figure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_S1"/>
                    <pic:cNvPicPr>
                      <a:picLocks noChangeAspect="1"/>
                    </pic:cNvPicPr>
                  </pic:nvPicPr>
                  <pic:blipFill>
                    <a:blip r:embed="rId6"/>
                    <a:stretch>
                      <a:fillRect/>
                    </a:stretch>
                  </pic:blipFill>
                  <pic:spPr>
                    <a:xfrm>
                      <a:off x="0" y="0"/>
                      <a:ext cx="5729605" cy="5164455"/>
                    </a:xfrm>
                    <a:prstGeom prst="rect">
                      <a:avLst/>
                    </a:prstGeom>
                  </pic:spPr>
                </pic:pic>
              </a:graphicData>
            </a:graphic>
          </wp:inline>
        </w:drawing>
      </w:r>
    </w:p>
    <w:p>
      <w:pPr>
        <w:spacing w:line="360" w:lineRule="auto"/>
        <w:jc w:val="both"/>
        <w:rPr>
          <w:sz w:val="24"/>
          <w:szCs w:val="24"/>
          <w:lang w:val="en-US"/>
        </w:rPr>
      </w:pPr>
      <w:r>
        <w:rPr>
          <w:b/>
          <w:bCs/>
          <w:sz w:val="24"/>
          <w:szCs w:val="24"/>
          <w:lang w:val="en-US"/>
        </w:rPr>
        <w:t>Fig S1.</w:t>
      </w:r>
      <w:r>
        <w:rPr>
          <w:sz w:val="24"/>
          <w:szCs w:val="24"/>
          <w:lang w:val="en-US"/>
        </w:rPr>
        <w:t xml:space="preserve"> Results of PCA analyses, including the location of all Brazilian Atlantic Forest cells in the PCA axes, and the relationships of the vectors of the original variables with these axes. (a) climate variables (Bio01 – Bio19); (b) landscape metrics (200m functional connectivity, forest cover, patch size, homogeneity, distance to roads, distance to cities).</w:t>
      </w:r>
    </w:p>
    <w:p>
      <w:pPr>
        <w:rPr>
          <w:sz w:val="24"/>
          <w:szCs w:val="24"/>
          <w:lang w:val="en-US"/>
        </w:rPr>
      </w:pPr>
      <w:r>
        <w:rPr>
          <w:sz w:val="24"/>
          <w:szCs w:val="24"/>
          <w:lang w:val="en-US"/>
        </w:rPr>
        <w:br w:type="page"/>
      </w:r>
    </w:p>
    <w:p>
      <w:pPr>
        <w:spacing w:line="360" w:lineRule="auto"/>
        <w:jc w:val="both"/>
        <w:rPr>
          <w:sz w:val="24"/>
          <w:szCs w:val="24"/>
          <w:lang w:val="pt-PT"/>
        </w:rPr>
      </w:pPr>
      <w:r>
        <w:rPr>
          <w:b/>
          <w:bCs/>
          <w:sz w:val="24"/>
          <w:szCs w:val="24"/>
          <w:lang w:val="en-US"/>
        </w:rPr>
        <w:t>Table S2.</w:t>
      </w:r>
      <w:r>
        <w:rPr>
          <w:sz w:val="24"/>
          <w:szCs w:val="24"/>
          <w:lang w:val="en-US"/>
        </w:rPr>
        <w:t xml:space="preserve"> The first four axes of both Principal Component Analysis (PCA) of climate (19 variables extracted from Fick &amp; Hijmans, 2017) a</w:t>
      </w:r>
      <w:bookmarkStart w:id="0" w:name="_GoBack"/>
      <w:bookmarkEnd w:id="0"/>
      <w:r>
        <w:rPr>
          <w:sz w:val="24"/>
          <w:szCs w:val="24"/>
          <w:lang w:val="en-US"/>
        </w:rPr>
        <w:t>nd landscape (five variables extracted from the Spatial Ecology and Conservation Laboratory, Ribeiro pers. comm.), and their respective scores. (SD = Standard deviation)</w:t>
      </w:r>
      <w:r>
        <w:rPr>
          <w:sz w:val="24"/>
          <w:szCs w:val="24"/>
          <w:lang w:val="pt-PT"/>
        </w:rPr>
        <w:t>.</w:t>
      </w:r>
    </w:p>
    <w:tbl>
      <w:tblPr>
        <w:tblStyle w:val="3"/>
        <w:tblW w:w="8460" w:type="dxa"/>
        <w:tblInd w:w="93" w:type="dxa"/>
        <w:tblLayout w:type="fixed"/>
        <w:tblCellMar>
          <w:top w:w="0" w:type="dxa"/>
          <w:left w:w="108" w:type="dxa"/>
          <w:bottom w:w="0" w:type="dxa"/>
          <w:right w:w="108" w:type="dxa"/>
        </w:tblCellMar>
      </w:tblPr>
      <w:tblGrid>
        <w:gridCol w:w="5820"/>
        <w:gridCol w:w="1320"/>
        <w:gridCol w:w="1320"/>
      </w:tblGrid>
      <w:tr>
        <w:tblPrEx>
          <w:tblLayout w:type="fixed"/>
          <w:tblCellMar>
            <w:top w:w="0" w:type="dxa"/>
            <w:left w:w="108" w:type="dxa"/>
            <w:bottom w:w="0" w:type="dxa"/>
            <w:right w:w="108" w:type="dxa"/>
          </w:tblCellMar>
        </w:tblPrEx>
        <w:trPr>
          <w:trHeight w:val="300" w:hRule="atLeast"/>
        </w:trPr>
        <w:tc>
          <w:tcPr>
            <w:tcW w:w="5820" w:type="dxa"/>
            <w:tcBorders>
              <w:top w:val="nil"/>
              <w:left w:val="nil"/>
              <w:bottom w:val="nil"/>
              <w:right w:val="nil"/>
            </w:tcBorders>
            <w:shd w:val="clear" w:color="auto" w:fill="auto"/>
            <w:noWrap/>
            <w:vAlign w:val="center"/>
          </w:tcPr>
          <w:p>
            <w:pPr>
              <w:textAlignment w:val="center"/>
              <w:rPr>
                <w:rFonts w:ascii="Calibri" w:hAnsi="Calibri" w:cs="Calibri"/>
                <w:b/>
                <w:color w:val="000000"/>
                <w:sz w:val="20"/>
                <w:szCs w:val="20"/>
              </w:rPr>
            </w:pPr>
            <w:r>
              <w:rPr>
                <w:rFonts w:ascii="Calibri" w:hAnsi="Calibri" w:eastAsia="SimSun" w:cs="Calibri"/>
                <w:b/>
                <w:color w:val="000000"/>
                <w:sz w:val="20"/>
                <w:szCs w:val="20"/>
                <w:lang w:val="en-US" w:eastAsia="zh-CN" w:bidi="ar"/>
              </w:rPr>
              <w:t>Variables</w:t>
            </w:r>
          </w:p>
        </w:tc>
        <w:tc>
          <w:tcPr>
            <w:tcW w:w="1320" w:type="dxa"/>
            <w:tcBorders>
              <w:top w:val="nil"/>
              <w:left w:val="nil"/>
              <w:bottom w:val="nil"/>
              <w:right w:val="nil"/>
            </w:tcBorders>
            <w:shd w:val="clear" w:color="auto" w:fill="auto"/>
            <w:noWrap/>
            <w:vAlign w:val="center"/>
          </w:tcPr>
          <w:p>
            <w:pPr>
              <w:textAlignment w:val="center"/>
              <w:rPr>
                <w:rFonts w:ascii="Calibri" w:hAnsi="Calibri" w:cs="Calibri"/>
                <w:b/>
                <w:color w:val="000000"/>
                <w:sz w:val="20"/>
                <w:szCs w:val="20"/>
              </w:rPr>
            </w:pPr>
            <w:r>
              <w:rPr>
                <w:rFonts w:ascii="Calibri" w:hAnsi="Calibri" w:eastAsia="SimSun" w:cs="Calibri"/>
                <w:b/>
                <w:color w:val="000000"/>
                <w:sz w:val="20"/>
                <w:szCs w:val="20"/>
                <w:lang w:val="en-US" w:eastAsia="zh-CN" w:bidi="ar"/>
              </w:rPr>
              <w:t>PC1</w:t>
            </w:r>
          </w:p>
        </w:tc>
        <w:tc>
          <w:tcPr>
            <w:tcW w:w="1320" w:type="dxa"/>
            <w:tcBorders>
              <w:top w:val="nil"/>
              <w:left w:val="nil"/>
              <w:bottom w:val="nil"/>
              <w:right w:val="nil"/>
            </w:tcBorders>
            <w:shd w:val="clear" w:color="auto" w:fill="auto"/>
            <w:noWrap/>
            <w:vAlign w:val="center"/>
          </w:tcPr>
          <w:p>
            <w:pPr>
              <w:textAlignment w:val="center"/>
              <w:rPr>
                <w:rFonts w:ascii="Calibri" w:hAnsi="Calibri" w:cs="Calibri"/>
                <w:b/>
                <w:color w:val="000000"/>
                <w:sz w:val="20"/>
                <w:szCs w:val="20"/>
              </w:rPr>
            </w:pPr>
            <w:r>
              <w:rPr>
                <w:rFonts w:ascii="Calibri" w:hAnsi="Calibri" w:eastAsia="SimSun" w:cs="Calibri"/>
                <w:b/>
                <w:color w:val="000000"/>
                <w:sz w:val="20"/>
                <w:szCs w:val="20"/>
                <w:lang w:val="en-US" w:eastAsia="zh-CN" w:bidi="ar"/>
              </w:rPr>
              <w:t>PC2</w:t>
            </w:r>
          </w:p>
        </w:tc>
      </w:tr>
      <w:tr>
        <w:tblPrEx>
          <w:tblLayout w:type="fixed"/>
          <w:tblCellMar>
            <w:top w:w="0" w:type="dxa"/>
            <w:left w:w="108" w:type="dxa"/>
            <w:bottom w:w="0" w:type="dxa"/>
            <w:right w:w="108" w:type="dxa"/>
          </w:tblCellMar>
        </w:tblPrEx>
        <w:trPr>
          <w:trHeight w:val="300" w:hRule="atLeast"/>
        </w:trPr>
        <w:tc>
          <w:tcPr>
            <w:tcW w:w="5820" w:type="dxa"/>
            <w:tcBorders>
              <w:top w:val="nil"/>
              <w:left w:val="nil"/>
              <w:bottom w:val="nil"/>
              <w:right w:val="nil"/>
            </w:tcBorders>
            <w:shd w:val="clear" w:color="auto" w:fill="auto"/>
            <w:noWrap/>
            <w:vAlign w:val="center"/>
          </w:tcPr>
          <w:p>
            <w:pPr>
              <w:textAlignment w:val="center"/>
              <w:rPr>
                <w:rFonts w:ascii="Calibri" w:hAnsi="Calibri" w:cs="Calibri"/>
                <w:b/>
                <w:color w:val="000000"/>
                <w:sz w:val="20"/>
                <w:szCs w:val="20"/>
              </w:rPr>
            </w:pPr>
            <w:r>
              <w:rPr>
                <w:rFonts w:ascii="Calibri" w:hAnsi="Calibri" w:eastAsia="SimSun" w:cs="Calibri"/>
                <w:b/>
                <w:color w:val="000000"/>
                <w:sz w:val="20"/>
                <w:szCs w:val="20"/>
                <w:lang w:val="en-US" w:eastAsia="zh-CN" w:bidi="ar"/>
              </w:rPr>
              <w:t>Climate</w:t>
            </w:r>
          </w:p>
        </w:tc>
        <w:tc>
          <w:tcPr>
            <w:tcW w:w="1320" w:type="dxa"/>
            <w:tcBorders>
              <w:top w:val="nil"/>
              <w:left w:val="nil"/>
              <w:bottom w:val="nil"/>
              <w:right w:val="nil"/>
            </w:tcBorders>
            <w:shd w:val="clear" w:color="auto" w:fill="auto"/>
            <w:noWrap/>
            <w:vAlign w:val="center"/>
          </w:tcPr>
          <w:p>
            <w:pPr>
              <w:rPr>
                <w:rFonts w:ascii="Calibri" w:hAnsi="Calibri" w:cs="Calibri"/>
                <w:color w:val="000000"/>
                <w:sz w:val="20"/>
                <w:szCs w:val="20"/>
              </w:rPr>
            </w:pPr>
          </w:p>
        </w:tc>
        <w:tc>
          <w:tcPr>
            <w:tcW w:w="1320" w:type="dxa"/>
            <w:tcBorders>
              <w:top w:val="nil"/>
              <w:left w:val="nil"/>
              <w:bottom w:val="nil"/>
              <w:right w:val="nil"/>
            </w:tcBorders>
            <w:shd w:val="clear" w:color="auto" w:fill="auto"/>
            <w:noWrap/>
            <w:vAlign w:val="center"/>
          </w:tcPr>
          <w:p>
            <w:pPr>
              <w:rPr>
                <w:rFonts w:ascii="Calibri" w:hAnsi="Calibri" w:cs="Calibri"/>
                <w:color w:val="000000"/>
                <w:sz w:val="20"/>
                <w:szCs w:val="20"/>
              </w:rPr>
            </w:pP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Annual Mean Temperature</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0.932</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-0.141</w:t>
            </w:r>
          </w:p>
        </w:tc>
      </w:tr>
      <w:tr>
        <w:tblPrEx>
          <w:tblLayout w:type="fixed"/>
          <w:tblCellMar>
            <w:top w:w="0" w:type="dxa"/>
            <w:left w:w="108" w:type="dxa"/>
            <w:bottom w:w="0" w:type="dxa"/>
            <w:right w:w="108" w:type="dxa"/>
          </w:tblCellMar>
        </w:tblPrEx>
        <w:trPr>
          <w:trHeight w:val="5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Mean Diurnal Range (Mean of monthly (max temp − min temp))</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0.047</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0.606</w:t>
            </w:r>
          </w:p>
        </w:tc>
      </w:tr>
      <w:tr>
        <w:tblPrEx>
          <w:tblLayout w:type="fixed"/>
        </w:tblPrEx>
        <w:trPr>
          <w:trHeight w:val="5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Isothermality (Mean Diurnal Range/Temperature Annual Range) (×100)</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0.803</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0.139</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Temperature seasonality (</w:t>
            </w:r>
            <w:r>
              <w:rPr>
                <w:rStyle w:val="4"/>
                <w:rFonts w:eastAsia="SimSun"/>
                <w:sz w:val="20"/>
                <w:szCs w:val="20"/>
                <w:lang w:val="en-US" w:eastAsia="zh-CN" w:bidi="ar"/>
              </w:rPr>
              <w:t>SD</w:t>
            </w:r>
            <w:r>
              <w:rPr>
                <w:rStyle w:val="5"/>
                <w:rFonts w:eastAsia="SimSun"/>
                <w:sz w:val="20"/>
                <w:szCs w:val="20"/>
                <w:lang w:val="en-US" w:eastAsia="zh-CN" w:bidi="ar"/>
              </w:rPr>
              <w:t xml:space="preserve"> × 100)</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-0.858</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-0.086</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Max Temperature of Warmest Month (MTWM)</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0.757</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0.119</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Min Temperature of Coldest Month (MTCM)</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0.895</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-0.299</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Temperature Annual Range (MTWM‐MTCM)</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-0.531</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0.475</w:t>
            </w:r>
          </w:p>
        </w:tc>
      </w:tr>
      <w:tr>
        <w:tblPrEx>
          <w:tblLayout w:type="fixed"/>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Mean Temperature of Wettest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0.772</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0.072</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Mean Temperature of Driest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0.794</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-0.337</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Mean Temperature of Warmest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0.770</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-0.264</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Mean Temperature of Coldest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0.967</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-0.112</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Annual Precipitation</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-0.765</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0.055</w:t>
            </w:r>
          </w:p>
        </w:tc>
      </w:tr>
      <w:tr>
        <w:tblPrEx>
          <w:tblLayout w:type="fixed"/>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Wettest Month</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-0.069</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0.792</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Driest Month</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-0.779</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-0.526</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Seasonality (Coefficient of Variation)</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0.693</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0.661</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Wettest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-0.067</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0.785</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Driest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-0.781</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-0.524</w:t>
            </w:r>
          </w:p>
        </w:tc>
      </w:tr>
      <w:tr>
        <w:tblPrEx>
          <w:tblLayout w:type="fixed"/>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Warmest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-0.448</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0.685</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Calibri" w:hAnsi="Calibri" w:cs="Calibri"/>
                <w:color w:val="000000"/>
                <w:sz w:val="20"/>
                <w:szCs w:val="20"/>
              </w:rPr>
            </w:pPr>
            <w:r>
              <w:rPr>
                <w:rFonts w:ascii="Calibri" w:hAnsi="Calibri" w:eastAsia="SimSun" w:cs="Calibri"/>
                <w:color w:val="000000"/>
                <w:sz w:val="20"/>
                <w:szCs w:val="20"/>
                <w:lang w:val="en-US" w:eastAsia="zh-CN" w:bidi="ar"/>
              </w:rPr>
              <w:t>Precipitation of Coldest Quarter</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-0.602</w:t>
            </w:r>
          </w:p>
        </w:tc>
        <w:tc>
          <w:tcPr>
            <w:tcW w:w="1320" w:type="dxa"/>
            <w:tcBorders>
              <w:top w:val="nil"/>
              <w:left w:val="nil"/>
              <w:bottom w:val="nil"/>
              <w:right w:val="nil"/>
            </w:tcBorders>
            <w:shd w:val="clear" w:color="auto" w:fill="auto"/>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-0.600</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SD</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9.516</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4.008</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Proportion of Variance</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0.501</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0.211</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Cumulative Proportion</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0.501</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0.712</w:t>
            </w:r>
          </w:p>
        </w:tc>
      </w:tr>
      <w:tr>
        <w:tblPrEx>
          <w:tblLayout w:type="fixed"/>
        </w:tblPrEx>
        <w:trPr>
          <w:trHeight w:val="300" w:hRule="atLeast"/>
        </w:trPr>
        <w:tc>
          <w:tcPr>
            <w:tcW w:w="5820" w:type="dxa"/>
            <w:tcBorders>
              <w:top w:val="nil"/>
              <w:left w:val="nil"/>
              <w:bottom w:val="nil"/>
              <w:right w:val="nil"/>
            </w:tcBorders>
            <w:shd w:val="clear" w:color="auto" w:fill="auto"/>
            <w:noWrap/>
            <w:vAlign w:val="center"/>
          </w:tcPr>
          <w:p>
            <w:pPr>
              <w:textAlignment w:val="center"/>
              <w:rPr>
                <w:rFonts w:ascii="Calibri" w:hAnsi="Calibri" w:cs="Calibri"/>
                <w:b/>
                <w:color w:val="000000"/>
                <w:sz w:val="20"/>
                <w:szCs w:val="20"/>
              </w:rPr>
            </w:pPr>
            <w:r>
              <w:rPr>
                <w:rFonts w:ascii="Calibri" w:hAnsi="Calibri" w:eastAsia="SimSun" w:cs="Calibri"/>
                <w:b/>
                <w:color w:val="000000"/>
                <w:sz w:val="20"/>
                <w:szCs w:val="20"/>
                <w:lang w:val="en-US" w:eastAsia="zh-CN" w:bidi="ar"/>
              </w:rPr>
              <w:t>Landscape</w:t>
            </w:r>
          </w:p>
        </w:tc>
        <w:tc>
          <w:tcPr>
            <w:tcW w:w="1320" w:type="dxa"/>
            <w:tcBorders>
              <w:top w:val="nil"/>
              <w:left w:val="nil"/>
              <w:bottom w:val="nil"/>
              <w:right w:val="nil"/>
            </w:tcBorders>
            <w:shd w:val="clear" w:color="auto" w:fill="auto"/>
            <w:noWrap/>
            <w:vAlign w:val="center"/>
          </w:tcPr>
          <w:p>
            <w:pPr>
              <w:rPr>
                <w:rFonts w:ascii="Calibri" w:hAnsi="Calibri" w:cs="Calibri"/>
                <w:color w:val="000000"/>
                <w:sz w:val="20"/>
                <w:szCs w:val="20"/>
              </w:rPr>
            </w:pPr>
          </w:p>
        </w:tc>
        <w:tc>
          <w:tcPr>
            <w:tcW w:w="1320" w:type="dxa"/>
            <w:tcBorders>
              <w:top w:val="nil"/>
              <w:left w:val="nil"/>
              <w:bottom w:val="nil"/>
              <w:right w:val="nil"/>
            </w:tcBorders>
            <w:shd w:val="clear" w:color="auto" w:fill="auto"/>
            <w:noWrap/>
            <w:vAlign w:val="center"/>
          </w:tcPr>
          <w:p>
            <w:pPr>
              <w:rPr>
                <w:rFonts w:ascii="Calibri" w:hAnsi="Calibri" w:cs="Calibri"/>
                <w:color w:val="000000"/>
                <w:sz w:val="20"/>
                <w:szCs w:val="20"/>
              </w:rPr>
            </w:pP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Proportion of habitat</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0.814</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0.064</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Fragment size</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-0.058</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0.774</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Functional Connectivity</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0.851</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-0.023</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Homogeneity</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0.232</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0.508</w:t>
            </w:r>
          </w:p>
        </w:tc>
      </w:tr>
      <w:tr>
        <w:tblPrEx>
          <w:tblLayout w:type="fixed"/>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Distance to urban areas</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0.822</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0.086</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jc w:val="center"/>
              <w:textAlignment w:val="top"/>
              <w:rPr>
                <w:rFonts w:ascii="DejaVu Sans" w:hAnsi="DejaVu Sans" w:eastAsia="DejaVu Sans" w:cs="DejaVu Sans"/>
                <w:color w:val="000000"/>
                <w:sz w:val="20"/>
                <w:szCs w:val="20"/>
              </w:rPr>
            </w:pPr>
            <w:r>
              <w:rPr>
                <w:rFonts w:ascii="DejaVu Sans" w:hAnsi="DejaVu Sans" w:eastAsia="DejaVu Sans" w:cs="DejaVu Sans"/>
                <w:color w:val="000000"/>
                <w:sz w:val="20"/>
                <w:szCs w:val="20"/>
                <w:lang w:val="en-US" w:eastAsia="zh-CN" w:bidi="ar"/>
              </w:rPr>
              <w:t>Distance to roads</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-0.046</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0.828</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SD</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2.121</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1.555</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Proportion of Variance</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0.354</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0.259</w:t>
            </w:r>
          </w:p>
        </w:tc>
      </w:tr>
      <w:tr>
        <w:tblPrEx>
          <w:tblLayout w:type="fixed"/>
          <w:tblCellMar>
            <w:top w:w="0" w:type="dxa"/>
            <w:left w:w="108" w:type="dxa"/>
            <w:bottom w:w="0" w:type="dxa"/>
            <w:right w:w="108" w:type="dxa"/>
          </w:tblCellMar>
        </w:tblPrEx>
        <w:trPr>
          <w:trHeight w:val="300" w:hRule="atLeast"/>
        </w:trPr>
        <w:tc>
          <w:tcPr>
            <w:tcW w:w="5820" w:type="dxa"/>
            <w:tcBorders>
              <w:top w:val="nil"/>
              <w:left w:val="single" w:color="9E9E9E" w:sz="8" w:space="0"/>
              <w:bottom w:val="nil"/>
              <w:right w:val="nil"/>
            </w:tcBorders>
            <w:shd w:val="clear" w:color="auto" w:fill="auto"/>
          </w:tcPr>
          <w:p>
            <w:pPr>
              <w:textAlignment w:val="top"/>
              <w:rPr>
                <w:rFonts w:ascii="Calibri" w:hAnsi="Calibri" w:cs="Calibri"/>
                <w:i/>
                <w:color w:val="000000"/>
                <w:sz w:val="20"/>
                <w:szCs w:val="20"/>
              </w:rPr>
            </w:pPr>
            <w:r>
              <w:rPr>
                <w:rFonts w:ascii="Calibri" w:hAnsi="Calibri" w:eastAsia="SimSun" w:cs="Calibri"/>
                <w:i/>
                <w:color w:val="000000"/>
                <w:sz w:val="20"/>
                <w:szCs w:val="20"/>
                <w:lang w:val="en-US" w:eastAsia="zh-CN" w:bidi="ar"/>
              </w:rPr>
              <w:t>Cumulative Proportion</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0.354</w:t>
            </w:r>
          </w:p>
        </w:tc>
        <w:tc>
          <w:tcPr>
            <w:tcW w:w="1320" w:type="dxa"/>
            <w:tcBorders>
              <w:top w:val="nil"/>
              <w:left w:val="nil"/>
              <w:bottom w:val="nil"/>
              <w:right w:val="nil"/>
            </w:tcBorders>
            <w:shd w:val="clear" w:color="auto" w:fill="auto"/>
            <w:noWrap/>
            <w:vAlign w:val="center"/>
          </w:tcPr>
          <w:p>
            <w:pPr>
              <w:jc w:val="right"/>
              <w:textAlignment w:val="center"/>
              <w:rPr>
                <w:rFonts w:ascii="Calibri" w:hAnsi="Calibri" w:cs="Calibri"/>
                <w:color w:val="000000"/>
                <w:sz w:val="20"/>
                <w:szCs w:val="20"/>
              </w:rPr>
            </w:pPr>
            <w:r>
              <w:rPr>
                <w:rFonts w:ascii="Calibri" w:hAnsi="Calibri" w:eastAsia="SimSun" w:cs="Calibri"/>
                <w:color w:val="000000"/>
                <w:sz w:val="20"/>
                <w:szCs w:val="20"/>
                <w:lang w:val="en-US" w:eastAsia="zh-CN" w:bidi="ar"/>
              </w:rPr>
              <w:t>0.613</w:t>
            </w:r>
          </w:p>
        </w:tc>
      </w:tr>
    </w:tbl>
    <w:p>
      <w:pPr>
        <w:spacing w:line="360" w:lineRule="auto"/>
        <w:jc w:val="both"/>
        <w:rPr>
          <w:sz w:val="24"/>
          <w:szCs w:val="24"/>
          <w:lang w:val="en-US"/>
        </w:rPr>
      </w:pPr>
    </w:p>
    <w:p/>
    <w:sectPr>
      <w:pgSz w:w="11909" w:h="16834"/>
      <w:pgMar w:top="1440" w:right="1440" w:bottom="1440" w:left="1440" w:header="720" w:footer="720" w:gutter="0"/>
      <w:lnNumType w:countBy="1" w:restart="continuous"/>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MT Extra"/>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Liberation Sans">
    <w:panose1 w:val="020B0604020202020204"/>
    <w:charset w:val="00"/>
    <w:family w:val="auto"/>
    <w:pitch w:val="default"/>
    <w:sig w:usb0="E0000AFF" w:usb1="500078FF" w:usb2="00000021" w:usb3="00000000" w:csb0="600001BF" w:csb1="DFF7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F56D4"/>
    <w:rsid w:val="FDEF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Arial" w:hAnsi="Arial" w:eastAsia="Arial" w:cs="Arial"/>
      <w:sz w:val="22"/>
      <w:szCs w:val="22"/>
      <w:lang w:val="es-ES" w:eastAsia="es-E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qFormat/>
    <w:uiPriority w:val="0"/>
    <w:rPr>
      <w:rFonts w:hint="default" w:ascii="Calibri" w:hAnsi="Calibri" w:cs="Calibri"/>
      <w:i/>
      <w:color w:val="000000"/>
      <w:u w:val="none"/>
    </w:rPr>
  </w:style>
  <w:style w:type="character" w:customStyle="1" w:styleId="5">
    <w:name w:val="font41"/>
    <w:qFormat/>
    <w:uiPriority w:val="0"/>
    <w:rPr>
      <w:rFonts w:hint="default" w:ascii="Calibri" w:hAnsi="Calibri" w:cs="Calibri"/>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2020-12-10T10:08:00Z</dcterms:created>
  <dc:creator>sobral</dc:creator>
  <cp:lastModifiedBy>sobral</cp:lastModifiedBy>
  <dcterms:modified xsi:type="dcterms:W3CDTF">2020-12-10T10:09:03Z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