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54AD9E" w14:textId="0B1293C3" w:rsidR="00AD0B45" w:rsidRPr="00327839" w:rsidRDefault="00AD0B45" w:rsidP="00AD0B45">
      <w:pPr>
        <w:spacing w:line="360" w:lineRule="auto"/>
        <w:rPr>
          <w:rFonts w:asciiTheme="majorBidi" w:hAnsiTheme="majorBidi" w:cstheme="majorBidi"/>
          <w:b/>
          <w:bCs/>
        </w:rPr>
      </w:pPr>
      <w:r w:rsidRPr="00327839">
        <w:rPr>
          <w:rFonts w:asciiTheme="majorBidi" w:hAnsiTheme="majorBidi" w:cstheme="majorBidi"/>
          <w:b/>
          <w:bCs/>
        </w:rPr>
        <w:t>Supplementary document</w:t>
      </w:r>
      <w:r w:rsidR="00CF1356">
        <w:rPr>
          <w:rFonts w:asciiTheme="majorBidi" w:hAnsiTheme="majorBidi" w:cstheme="majorBidi"/>
          <w:b/>
          <w:bCs/>
        </w:rPr>
        <w:t>s</w:t>
      </w:r>
    </w:p>
    <w:p w14:paraId="68954D0E" w14:textId="77777777" w:rsidR="00AD0B45" w:rsidRPr="00AB53B7" w:rsidRDefault="00AD0B45" w:rsidP="00AD0B45">
      <w:pPr>
        <w:spacing w:line="360" w:lineRule="auto"/>
        <w:rPr>
          <w:rFonts w:asciiTheme="minorBidi" w:hAnsiTheme="minorBidi" w:cstheme="minorBidi"/>
          <w:sz w:val="24"/>
          <w:szCs w:val="24"/>
        </w:rPr>
      </w:pPr>
    </w:p>
    <w:p w14:paraId="7B03E7C5" w14:textId="77777777" w:rsidR="00CD1050" w:rsidRPr="003A644A" w:rsidRDefault="00CD1050" w:rsidP="00CD1050">
      <w:pPr>
        <w:spacing w:line="360" w:lineRule="auto"/>
        <w:rPr>
          <w:rFonts w:asciiTheme="majorBidi" w:hAnsiTheme="majorBidi" w:cstheme="majorBidi"/>
          <w:b/>
          <w:sz w:val="24"/>
          <w:szCs w:val="24"/>
        </w:rPr>
      </w:pPr>
      <w:r w:rsidRPr="003A644A">
        <w:rPr>
          <w:rFonts w:asciiTheme="majorBidi" w:hAnsiTheme="majorBidi" w:cstheme="majorBidi"/>
          <w:b/>
          <w:sz w:val="24"/>
          <w:szCs w:val="24"/>
        </w:rPr>
        <w:t xml:space="preserve">Hepatitis C Core Antigen test as an alternative for diagnosing HCV infection: mathematical model and cost-effectiveness analysis </w:t>
      </w:r>
    </w:p>
    <w:p w14:paraId="179D426C" w14:textId="77777777" w:rsidR="00CD1050" w:rsidRPr="00AB53B7" w:rsidRDefault="00CD1050" w:rsidP="00CD1050">
      <w:pPr>
        <w:spacing w:line="360" w:lineRule="auto"/>
        <w:rPr>
          <w:rFonts w:asciiTheme="minorBidi" w:hAnsiTheme="minorBidi" w:cstheme="minorBidi"/>
          <w:sz w:val="22"/>
          <w:szCs w:val="22"/>
        </w:rPr>
      </w:pPr>
    </w:p>
    <w:p w14:paraId="424E15B9" w14:textId="77777777" w:rsidR="00AD0B45" w:rsidRPr="003A644A" w:rsidRDefault="00AD0B45" w:rsidP="00AD0B45">
      <w:pPr>
        <w:spacing w:line="480" w:lineRule="auto"/>
        <w:rPr>
          <w:rFonts w:asciiTheme="majorBidi" w:hAnsiTheme="majorBidi" w:cstheme="majorBidi"/>
        </w:rPr>
      </w:pPr>
    </w:p>
    <w:p w14:paraId="48A43F6F" w14:textId="77777777" w:rsidR="00AD0B45" w:rsidRPr="003A644A" w:rsidRDefault="00AD0B45" w:rsidP="00E85287">
      <w:pPr>
        <w:pStyle w:val="Heading1"/>
        <w:jc w:val="both"/>
        <w:rPr>
          <w:rFonts w:asciiTheme="majorBidi" w:hAnsiTheme="majorBidi"/>
          <w:color w:val="000000" w:themeColor="text1"/>
          <w:sz w:val="20"/>
          <w:szCs w:val="20"/>
        </w:rPr>
      </w:pPr>
      <w:bookmarkStart w:id="0" w:name="_Toc26552226"/>
      <w:r w:rsidRPr="003A644A">
        <w:rPr>
          <w:rFonts w:asciiTheme="majorBidi" w:hAnsiTheme="majorBidi"/>
          <w:b/>
          <w:color w:val="000000" w:themeColor="text1"/>
          <w:w w:val="99"/>
          <w:sz w:val="20"/>
          <w:szCs w:val="20"/>
        </w:rPr>
        <w:t>Supplementary</w:t>
      </w:r>
      <w:r w:rsidRPr="003A644A">
        <w:rPr>
          <w:rFonts w:asciiTheme="majorBidi" w:hAnsiTheme="majorBidi"/>
          <w:b/>
          <w:color w:val="000000" w:themeColor="text1"/>
          <w:sz w:val="20"/>
          <w:szCs w:val="20"/>
        </w:rPr>
        <w:t xml:space="preserve"> </w:t>
      </w:r>
      <w:r w:rsidRPr="003A644A">
        <w:rPr>
          <w:rFonts w:asciiTheme="majorBidi" w:hAnsiTheme="majorBidi"/>
          <w:b/>
          <w:color w:val="000000" w:themeColor="text1"/>
          <w:w w:val="99"/>
          <w:sz w:val="20"/>
          <w:szCs w:val="20"/>
        </w:rPr>
        <w:t>Table</w:t>
      </w:r>
      <w:r w:rsidRPr="003A644A">
        <w:rPr>
          <w:rFonts w:asciiTheme="majorBidi" w:hAnsiTheme="majorBidi"/>
          <w:b/>
          <w:color w:val="000000" w:themeColor="text1"/>
          <w:sz w:val="20"/>
          <w:szCs w:val="20"/>
        </w:rPr>
        <w:t xml:space="preserve"> </w:t>
      </w:r>
      <w:r w:rsidRPr="003A644A">
        <w:rPr>
          <w:rFonts w:asciiTheme="majorBidi" w:hAnsiTheme="majorBidi"/>
          <w:b/>
          <w:color w:val="000000" w:themeColor="text1"/>
          <w:w w:val="99"/>
          <w:sz w:val="20"/>
          <w:szCs w:val="20"/>
        </w:rPr>
        <w:t>1:</w:t>
      </w:r>
      <w:r w:rsidRPr="003A644A">
        <w:rPr>
          <w:rFonts w:asciiTheme="majorBidi" w:hAnsiTheme="majorBidi"/>
          <w:color w:val="000000" w:themeColor="text1"/>
          <w:w w:val="99"/>
          <w:sz w:val="20"/>
          <w:szCs w:val="20"/>
        </w:rPr>
        <w:t xml:space="preserve"> </w:t>
      </w:r>
      <w:r w:rsidRPr="003A644A">
        <w:rPr>
          <w:rFonts w:asciiTheme="majorBidi" w:hAnsiTheme="majorBidi"/>
          <w:color w:val="000000" w:themeColor="text1"/>
          <w:sz w:val="20"/>
          <w:szCs w:val="20"/>
        </w:rPr>
        <w:t>Disease progression rates between METAVIR stages F0 and F4 according to gender and current age</w:t>
      </w:r>
      <w:r w:rsidRPr="003A644A">
        <w:rPr>
          <w:rFonts w:asciiTheme="majorBidi" w:hAnsiTheme="majorBidi"/>
          <w:color w:val="000000" w:themeColor="text1"/>
          <w:sz w:val="20"/>
          <w:szCs w:val="20"/>
          <w:vertAlign w:val="superscript"/>
        </w:rPr>
        <w:t>1</w:t>
      </w:r>
      <w:bookmarkEnd w:id="0"/>
    </w:p>
    <w:p w14:paraId="60226E5F" w14:textId="77777777" w:rsidR="00AD0B45" w:rsidRPr="003A644A" w:rsidRDefault="00AD0B45" w:rsidP="00AD0B45">
      <w:pPr>
        <w:autoSpaceDE w:val="0"/>
        <w:autoSpaceDN w:val="0"/>
        <w:adjustRightInd w:val="0"/>
        <w:rPr>
          <w:rFonts w:asciiTheme="majorBidi" w:hAnsiTheme="majorBidi" w:cstheme="majorBidi"/>
        </w:rPr>
      </w:pPr>
    </w:p>
    <w:tbl>
      <w:tblPr>
        <w:tblStyle w:val="ListTable2-Accent5"/>
        <w:tblW w:w="9893" w:type="dxa"/>
        <w:tblLayout w:type="fixed"/>
        <w:tblLook w:val="04A0" w:firstRow="1" w:lastRow="0" w:firstColumn="1" w:lastColumn="0" w:noHBand="0" w:noVBand="1"/>
      </w:tblPr>
      <w:tblGrid>
        <w:gridCol w:w="1256"/>
        <w:gridCol w:w="1102"/>
        <w:gridCol w:w="942"/>
        <w:gridCol w:w="1096"/>
        <w:gridCol w:w="1099"/>
        <w:gridCol w:w="1099"/>
        <w:gridCol w:w="1099"/>
        <w:gridCol w:w="1253"/>
        <w:gridCol w:w="947"/>
      </w:tblGrid>
      <w:tr w:rsidR="00AD0B45" w:rsidRPr="003A644A" w14:paraId="2185FAC0" w14:textId="77777777" w:rsidTr="00310EDE">
        <w:trPr>
          <w:cnfStyle w:val="100000000000" w:firstRow="1" w:lastRow="0" w:firstColumn="0" w:lastColumn="0" w:oddVBand="0" w:evenVBand="0" w:oddHBand="0"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1256" w:type="dxa"/>
          </w:tcPr>
          <w:p w14:paraId="23F125AE" w14:textId="77777777" w:rsidR="00AD0B45" w:rsidRPr="003A644A" w:rsidRDefault="00AD0B45" w:rsidP="00EA6198">
            <w:pPr>
              <w:autoSpaceDE w:val="0"/>
              <w:autoSpaceDN w:val="0"/>
              <w:adjustRightInd w:val="0"/>
              <w:rPr>
                <w:rFonts w:asciiTheme="majorBidi" w:hAnsiTheme="majorBidi" w:cstheme="majorBidi"/>
              </w:rPr>
            </w:pPr>
            <w:r w:rsidRPr="003A644A">
              <w:rPr>
                <w:rFonts w:asciiTheme="majorBidi" w:hAnsiTheme="majorBidi" w:cstheme="majorBidi"/>
              </w:rPr>
              <w:t xml:space="preserve">Age </w:t>
            </w:r>
          </w:p>
        </w:tc>
        <w:tc>
          <w:tcPr>
            <w:tcW w:w="1102" w:type="dxa"/>
          </w:tcPr>
          <w:p w14:paraId="753F3EA7" w14:textId="77777777" w:rsidR="00AD0B45" w:rsidRPr="003A644A" w:rsidRDefault="00AD0B45" w:rsidP="00EA61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 xml:space="preserve">10-19 </w:t>
            </w:r>
          </w:p>
          <w:p w14:paraId="16538096" w14:textId="77777777" w:rsidR="00AD0B45" w:rsidRPr="003A644A" w:rsidRDefault="00AD0B45" w:rsidP="00EA61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p>
        </w:tc>
        <w:tc>
          <w:tcPr>
            <w:tcW w:w="942" w:type="dxa"/>
          </w:tcPr>
          <w:p w14:paraId="1C78ADF8" w14:textId="77777777" w:rsidR="00AD0B45" w:rsidRPr="003A644A" w:rsidRDefault="00AD0B45" w:rsidP="00EA61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 xml:space="preserve">20-29 </w:t>
            </w:r>
          </w:p>
        </w:tc>
        <w:tc>
          <w:tcPr>
            <w:tcW w:w="1096" w:type="dxa"/>
          </w:tcPr>
          <w:p w14:paraId="5CB6D4C4" w14:textId="77777777" w:rsidR="00AD0B45" w:rsidRPr="003A644A" w:rsidRDefault="00AD0B45" w:rsidP="00EA61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 xml:space="preserve">30-39 </w:t>
            </w:r>
          </w:p>
        </w:tc>
        <w:tc>
          <w:tcPr>
            <w:tcW w:w="1099" w:type="dxa"/>
          </w:tcPr>
          <w:p w14:paraId="6D0D3C97" w14:textId="77777777" w:rsidR="00AD0B45" w:rsidRPr="003A644A" w:rsidRDefault="00AD0B45" w:rsidP="00EA61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 xml:space="preserve">40-49 </w:t>
            </w:r>
          </w:p>
        </w:tc>
        <w:tc>
          <w:tcPr>
            <w:tcW w:w="1099" w:type="dxa"/>
          </w:tcPr>
          <w:p w14:paraId="2FDA6172" w14:textId="77777777" w:rsidR="00AD0B45" w:rsidRPr="003A644A" w:rsidRDefault="00AD0B45" w:rsidP="00EA61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 xml:space="preserve">50-59 </w:t>
            </w:r>
          </w:p>
        </w:tc>
        <w:tc>
          <w:tcPr>
            <w:tcW w:w="1099" w:type="dxa"/>
          </w:tcPr>
          <w:p w14:paraId="67D91E2A" w14:textId="77777777" w:rsidR="00AD0B45" w:rsidRPr="003A644A" w:rsidRDefault="00AD0B45" w:rsidP="00EA61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 xml:space="preserve">60-69 </w:t>
            </w:r>
          </w:p>
        </w:tc>
        <w:tc>
          <w:tcPr>
            <w:tcW w:w="1253" w:type="dxa"/>
          </w:tcPr>
          <w:p w14:paraId="0F67239A" w14:textId="77777777" w:rsidR="00AD0B45" w:rsidRPr="003A644A" w:rsidRDefault="00AD0B45" w:rsidP="00EA61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 xml:space="preserve">70-79 </w:t>
            </w:r>
          </w:p>
        </w:tc>
        <w:tc>
          <w:tcPr>
            <w:tcW w:w="947" w:type="dxa"/>
          </w:tcPr>
          <w:p w14:paraId="02CD8578" w14:textId="77777777" w:rsidR="00AD0B45" w:rsidRPr="003A644A" w:rsidRDefault="00AD0B45" w:rsidP="00EA619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80+</w:t>
            </w:r>
          </w:p>
        </w:tc>
      </w:tr>
      <w:tr w:rsidR="00310EDE" w:rsidRPr="003A644A" w14:paraId="1F5AECBC" w14:textId="77777777" w:rsidTr="005404EF">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9893" w:type="dxa"/>
            <w:gridSpan w:val="9"/>
          </w:tcPr>
          <w:p w14:paraId="7350C84F" w14:textId="77777777" w:rsidR="00310EDE" w:rsidRPr="00310EDE" w:rsidRDefault="00310EDE" w:rsidP="00310EDE">
            <w:pPr>
              <w:autoSpaceDE w:val="0"/>
              <w:autoSpaceDN w:val="0"/>
              <w:adjustRightInd w:val="0"/>
              <w:rPr>
                <w:rFonts w:asciiTheme="majorBidi" w:hAnsiTheme="majorBidi" w:cstheme="majorBidi"/>
              </w:rPr>
            </w:pPr>
            <w:r w:rsidRPr="00310EDE">
              <w:rPr>
                <w:rFonts w:asciiTheme="majorBidi" w:hAnsiTheme="majorBidi" w:cstheme="majorBidi"/>
              </w:rPr>
              <w:t>Fibrosis progression rate per 100 person-years: Male</w:t>
            </w:r>
          </w:p>
          <w:p w14:paraId="5B993389" w14:textId="77777777" w:rsidR="00310EDE" w:rsidRPr="003A644A" w:rsidRDefault="00310EDE" w:rsidP="00EA6198">
            <w:pPr>
              <w:autoSpaceDE w:val="0"/>
              <w:autoSpaceDN w:val="0"/>
              <w:adjustRightInd w:val="0"/>
              <w:rPr>
                <w:rFonts w:asciiTheme="majorBidi" w:hAnsiTheme="majorBidi" w:cstheme="majorBidi"/>
              </w:rPr>
            </w:pPr>
          </w:p>
        </w:tc>
      </w:tr>
      <w:tr w:rsidR="00AD0B45" w:rsidRPr="003A644A" w14:paraId="0F844CB8" w14:textId="77777777" w:rsidTr="00310EDE">
        <w:trPr>
          <w:trHeight w:val="235"/>
        </w:trPr>
        <w:tc>
          <w:tcPr>
            <w:cnfStyle w:val="001000000000" w:firstRow="0" w:lastRow="0" w:firstColumn="1" w:lastColumn="0" w:oddVBand="0" w:evenVBand="0" w:oddHBand="0" w:evenHBand="0" w:firstRowFirstColumn="0" w:firstRowLastColumn="0" w:lastRowFirstColumn="0" w:lastRowLastColumn="0"/>
            <w:tcW w:w="1256" w:type="dxa"/>
          </w:tcPr>
          <w:p w14:paraId="2BF16D66" w14:textId="77777777" w:rsidR="00AD0B45" w:rsidRPr="003A644A" w:rsidRDefault="00AD0B45" w:rsidP="00EA6198">
            <w:pPr>
              <w:autoSpaceDE w:val="0"/>
              <w:autoSpaceDN w:val="0"/>
              <w:adjustRightInd w:val="0"/>
              <w:rPr>
                <w:rFonts w:asciiTheme="majorBidi" w:hAnsiTheme="majorBidi" w:cstheme="majorBidi"/>
              </w:rPr>
            </w:pPr>
            <w:r w:rsidRPr="003A644A">
              <w:rPr>
                <w:rFonts w:asciiTheme="majorBidi" w:hAnsiTheme="majorBidi" w:cstheme="majorBidi"/>
              </w:rPr>
              <w:t xml:space="preserve">F0 -&gt; F1 </w:t>
            </w:r>
          </w:p>
        </w:tc>
        <w:tc>
          <w:tcPr>
            <w:tcW w:w="1102" w:type="dxa"/>
          </w:tcPr>
          <w:p w14:paraId="67FE9DC5" w14:textId="77777777" w:rsidR="00AD0B45" w:rsidRPr="003A644A" w:rsidRDefault="00AD0B45" w:rsidP="00EA61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 xml:space="preserve">4.5 </w:t>
            </w:r>
          </w:p>
        </w:tc>
        <w:tc>
          <w:tcPr>
            <w:tcW w:w="942" w:type="dxa"/>
          </w:tcPr>
          <w:p w14:paraId="2DF785DB" w14:textId="77777777" w:rsidR="00AD0B45" w:rsidRPr="003A644A" w:rsidRDefault="00AD0B45" w:rsidP="00EA61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 xml:space="preserve">3.7 </w:t>
            </w:r>
          </w:p>
        </w:tc>
        <w:tc>
          <w:tcPr>
            <w:tcW w:w="1096" w:type="dxa"/>
          </w:tcPr>
          <w:p w14:paraId="0BD6DCA2" w14:textId="77777777" w:rsidR="00AD0B45" w:rsidRPr="003A644A" w:rsidRDefault="00AD0B45" w:rsidP="00EA61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 xml:space="preserve">2.7 </w:t>
            </w:r>
          </w:p>
        </w:tc>
        <w:tc>
          <w:tcPr>
            <w:tcW w:w="1099" w:type="dxa"/>
          </w:tcPr>
          <w:p w14:paraId="4CDADD8F" w14:textId="77777777" w:rsidR="00AD0B45" w:rsidRPr="003A644A" w:rsidRDefault="00AD0B45" w:rsidP="00EA61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 xml:space="preserve">9.9 </w:t>
            </w:r>
          </w:p>
        </w:tc>
        <w:tc>
          <w:tcPr>
            <w:tcW w:w="1099" w:type="dxa"/>
          </w:tcPr>
          <w:p w14:paraId="0372A553" w14:textId="77777777" w:rsidR="00AD0B45" w:rsidRPr="003A644A" w:rsidRDefault="00AD0B45" w:rsidP="00EA61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 xml:space="preserve">12.1 </w:t>
            </w:r>
          </w:p>
        </w:tc>
        <w:tc>
          <w:tcPr>
            <w:tcW w:w="1099" w:type="dxa"/>
          </w:tcPr>
          <w:p w14:paraId="603D039E" w14:textId="77777777" w:rsidR="00AD0B45" w:rsidRPr="003A644A" w:rsidRDefault="00AD0B45" w:rsidP="00EA61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 xml:space="preserve">13.8 </w:t>
            </w:r>
          </w:p>
        </w:tc>
        <w:tc>
          <w:tcPr>
            <w:tcW w:w="1253" w:type="dxa"/>
          </w:tcPr>
          <w:p w14:paraId="1FC0B385" w14:textId="77777777" w:rsidR="00AD0B45" w:rsidRPr="003A644A" w:rsidRDefault="00AD0B45" w:rsidP="00EA61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 xml:space="preserve">15.5 </w:t>
            </w:r>
          </w:p>
        </w:tc>
        <w:tc>
          <w:tcPr>
            <w:tcW w:w="947" w:type="dxa"/>
          </w:tcPr>
          <w:p w14:paraId="3EB3B71B" w14:textId="77777777" w:rsidR="00AD0B45" w:rsidRPr="003A644A" w:rsidRDefault="00AD0B45" w:rsidP="00EA61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12.7</w:t>
            </w:r>
          </w:p>
        </w:tc>
      </w:tr>
      <w:tr w:rsidR="00AD0B45" w:rsidRPr="003A644A" w14:paraId="32E2054A" w14:textId="77777777" w:rsidTr="00310EDE">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256" w:type="dxa"/>
          </w:tcPr>
          <w:p w14:paraId="617FF460" w14:textId="77777777" w:rsidR="00AD0B45" w:rsidRPr="003A644A" w:rsidRDefault="00AD0B45" w:rsidP="00EA6198">
            <w:pPr>
              <w:autoSpaceDE w:val="0"/>
              <w:autoSpaceDN w:val="0"/>
              <w:adjustRightInd w:val="0"/>
              <w:rPr>
                <w:rFonts w:asciiTheme="majorBidi" w:hAnsiTheme="majorBidi" w:cstheme="majorBidi"/>
              </w:rPr>
            </w:pPr>
            <w:r w:rsidRPr="003A644A">
              <w:rPr>
                <w:rFonts w:asciiTheme="majorBidi" w:hAnsiTheme="majorBidi" w:cstheme="majorBidi"/>
              </w:rPr>
              <w:t xml:space="preserve">F1 -&gt; F2 </w:t>
            </w:r>
          </w:p>
        </w:tc>
        <w:tc>
          <w:tcPr>
            <w:tcW w:w="1102" w:type="dxa"/>
          </w:tcPr>
          <w:p w14:paraId="04CEF64C" w14:textId="77777777" w:rsidR="00AD0B45" w:rsidRPr="003A644A" w:rsidRDefault="00AD0B45" w:rsidP="00EA61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 xml:space="preserve">3.3 </w:t>
            </w:r>
          </w:p>
        </w:tc>
        <w:tc>
          <w:tcPr>
            <w:tcW w:w="942" w:type="dxa"/>
          </w:tcPr>
          <w:p w14:paraId="12CB78E9" w14:textId="77777777" w:rsidR="00AD0B45" w:rsidRPr="003A644A" w:rsidRDefault="00AD0B45" w:rsidP="00EA61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 xml:space="preserve">2.7 </w:t>
            </w:r>
          </w:p>
        </w:tc>
        <w:tc>
          <w:tcPr>
            <w:tcW w:w="1096" w:type="dxa"/>
          </w:tcPr>
          <w:p w14:paraId="22EA3812" w14:textId="77777777" w:rsidR="00AD0B45" w:rsidRPr="003A644A" w:rsidRDefault="00AD0B45" w:rsidP="00EA61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1.9</w:t>
            </w:r>
          </w:p>
        </w:tc>
        <w:tc>
          <w:tcPr>
            <w:tcW w:w="1099" w:type="dxa"/>
          </w:tcPr>
          <w:p w14:paraId="0E75D193" w14:textId="77777777" w:rsidR="00AD0B45" w:rsidRPr="003A644A" w:rsidRDefault="00AD0B45" w:rsidP="00EA61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7.2</w:t>
            </w:r>
          </w:p>
        </w:tc>
        <w:tc>
          <w:tcPr>
            <w:tcW w:w="1099" w:type="dxa"/>
          </w:tcPr>
          <w:p w14:paraId="58F5AF5F" w14:textId="77777777" w:rsidR="00AD0B45" w:rsidRPr="003A644A" w:rsidRDefault="00AD0B45" w:rsidP="00EA61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8.8</w:t>
            </w:r>
          </w:p>
        </w:tc>
        <w:tc>
          <w:tcPr>
            <w:tcW w:w="1099" w:type="dxa"/>
          </w:tcPr>
          <w:p w14:paraId="6455A77A" w14:textId="77777777" w:rsidR="00AD0B45" w:rsidRPr="003A644A" w:rsidRDefault="00AD0B45" w:rsidP="00EA61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10.0</w:t>
            </w:r>
          </w:p>
        </w:tc>
        <w:tc>
          <w:tcPr>
            <w:tcW w:w="1253" w:type="dxa"/>
          </w:tcPr>
          <w:p w14:paraId="4506D69A" w14:textId="77777777" w:rsidR="00AD0B45" w:rsidRPr="003A644A" w:rsidRDefault="00AD0B45" w:rsidP="00EA61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11.2</w:t>
            </w:r>
          </w:p>
        </w:tc>
        <w:tc>
          <w:tcPr>
            <w:tcW w:w="947" w:type="dxa"/>
          </w:tcPr>
          <w:p w14:paraId="32639F46" w14:textId="77777777" w:rsidR="00AD0B45" w:rsidRPr="003A644A" w:rsidRDefault="00AD0B45" w:rsidP="00EA61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13.0</w:t>
            </w:r>
          </w:p>
        </w:tc>
      </w:tr>
      <w:tr w:rsidR="00AD0B45" w:rsidRPr="003A644A" w14:paraId="661E366A" w14:textId="77777777" w:rsidTr="00310EDE">
        <w:trPr>
          <w:trHeight w:val="235"/>
        </w:trPr>
        <w:tc>
          <w:tcPr>
            <w:cnfStyle w:val="001000000000" w:firstRow="0" w:lastRow="0" w:firstColumn="1" w:lastColumn="0" w:oddVBand="0" w:evenVBand="0" w:oddHBand="0" w:evenHBand="0" w:firstRowFirstColumn="0" w:firstRowLastColumn="0" w:lastRowFirstColumn="0" w:lastRowLastColumn="0"/>
            <w:tcW w:w="1256" w:type="dxa"/>
          </w:tcPr>
          <w:p w14:paraId="23F1BEF4" w14:textId="77777777" w:rsidR="00AD0B45" w:rsidRPr="003A644A" w:rsidRDefault="00AD0B45" w:rsidP="00EA6198">
            <w:pPr>
              <w:autoSpaceDE w:val="0"/>
              <w:autoSpaceDN w:val="0"/>
              <w:adjustRightInd w:val="0"/>
              <w:rPr>
                <w:rFonts w:asciiTheme="majorBidi" w:hAnsiTheme="majorBidi" w:cstheme="majorBidi"/>
              </w:rPr>
            </w:pPr>
            <w:r w:rsidRPr="003A644A">
              <w:rPr>
                <w:rFonts w:asciiTheme="majorBidi" w:hAnsiTheme="majorBidi" w:cstheme="majorBidi"/>
              </w:rPr>
              <w:t xml:space="preserve">F2 -&gt; F3 </w:t>
            </w:r>
          </w:p>
        </w:tc>
        <w:tc>
          <w:tcPr>
            <w:tcW w:w="1102" w:type="dxa"/>
          </w:tcPr>
          <w:p w14:paraId="0C374CAB" w14:textId="77777777" w:rsidR="00AD0B45" w:rsidRPr="003A644A" w:rsidRDefault="00AD0B45" w:rsidP="00EA61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 xml:space="preserve">4.7 </w:t>
            </w:r>
          </w:p>
        </w:tc>
        <w:tc>
          <w:tcPr>
            <w:tcW w:w="942" w:type="dxa"/>
          </w:tcPr>
          <w:p w14:paraId="4084EE2C" w14:textId="77777777" w:rsidR="00AD0B45" w:rsidRPr="003A644A" w:rsidRDefault="00AD0B45" w:rsidP="00EA61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 xml:space="preserve">3.8 </w:t>
            </w:r>
          </w:p>
        </w:tc>
        <w:tc>
          <w:tcPr>
            <w:tcW w:w="1096" w:type="dxa"/>
          </w:tcPr>
          <w:p w14:paraId="46B1F4B6" w14:textId="77777777" w:rsidR="00AD0B45" w:rsidRPr="003A644A" w:rsidRDefault="00AD0B45" w:rsidP="00EA61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2.8</w:t>
            </w:r>
          </w:p>
        </w:tc>
        <w:tc>
          <w:tcPr>
            <w:tcW w:w="1099" w:type="dxa"/>
          </w:tcPr>
          <w:p w14:paraId="3405C515" w14:textId="77777777" w:rsidR="00AD0B45" w:rsidRPr="003A644A" w:rsidRDefault="00AD0B45" w:rsidP="00EA61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 xml:space="preserve">10.2 </w:t>
            </w:r>
          </w:p>
        </w:tc>
        <w:tc>
          <w:tcPr>
            <w:tcW w:w="1099" w:type="dxa"/>
          </w:tcPr>
          <w:p w14:paraId="5C667DBC" w14:textId="77777777" w:rsidR="00AD0B45" w:rsidRPr="003A644A" w:rsidRDefault="00AD0B45" w:rsidP="00EA61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 xml:space="preserve">12.4 </w:t>
            </w:r>
          </w:p>
        </w:tc>
        <w:tc>
          <w:tcPr>
            <w:tcW w:w="1099" w:type="dxa"/>
          </w:tcPr>
          <w:p w14:paraId="62F27D98" w14:textId="77777777" w:rsidR="00AD0B45" w:rsidRPr="003A644A" w:rsidRDefault="00AD0B45" w:rsidP="00EA61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 xml:space="preserve">14.1 </w:t>
            </w:r>
          </w:p>
        </w:tc>
        <w:tc>
          <w:tcPr>
            <w:tcW w:w="1253" w:type="dxa"/>
          </w:tcPr>
          <w:p w14:paraId="0BC92A6E" w14:textId="77777777" w:rsidR="00AD0B45" w:rsidRPr="003A644A" w:rsidRDefault="00AD0B45" w:rsidP="00EA61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 xml:space="preserve">15.9 </w:t>
            </w:r>
          </w:p>
        </w:tc>
        <w:tc>
          <w:tcPr>
            <w:tcW w:w="947" w:type="dxa"/>
          </w:tcPr>
          <w:p w14:paraId="3F6D7B41" w14:textId="77777777" w:rsidR="00AD0B45" w:rsidRPr="003A644A" w:rsidRDefault="00AD0B45" w:rsidP="00EA61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13.0</w:t>
            </w:r>
          </w:p>
        </w:tc>
      </w:tr>
      <w:tr w:rsidR="00AD0B45" w:rsidRPr="003A644A" w14:paraId="511CC1C8" w14:textId="77777777" w:rsidTr="00310EDE">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256" w:type="dxa"/>
          </w:tcPr>
          <w:p w14:paraId="301A7D7D" w14:textId="77777777" w:rsidR="00AD0B45" w:rsidRPr="003A644A" w:rsidRDefault="00AD0B45" w:rsidP="00EA6198">
            <w:pPr>
              <w:autoSpaceDE w:val="0"/>
              <w:autoSpaceDN w:val="0"/>
              <w:adjustRightInd w:val="0"/>
              <w:rPr>
                <w:rFonts w:asciiTheme="majorBidi" w:hAnsiTheme="majorBidi" w:cstheme="majorBidi"/>
              </w:rPr>
            </w:pPr>
            <w:r w:rsidRPr="003A644A">
              <w:rPr>
                <w:rFonts w:asciiTheme="majorBidi" w:hAnsiTheme="majorBidi" w:cstheme="majorBidi"/>
              </w:rPr>
              <w:t>F3 -&gt; F4</w:t>
            </w:r>
          </w:p>
        </w:tc>
        <w:tc>
          <w:tcPr>
            <w:tcW w:w="1102" w:type="dxa"/>
          </w:tcPr>
          <w:p w14:paraId="034CFD5B" w14:textId="77777777" w:rsidR="00AD0B45" w:rsidRPr="003A644A" w:rsidRDefault="00AD0B45" w:rsidP="00EA61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 xml:space="preserve">0.6 </w:t>
            </w:r>
          </w:p>
        </w:tc>
        <w:tc>
          <w:tcPr>
            <w:tcW w:w="942" w:type="dxa"/>
          </w:tcPr>
          <w:p w14:paraId="3BA03079" w14:textId="77777777" w:rsidR="00AD0B45" w:rsidRPr="003A644A" w:rsidRDefault="00AD0B45" w:rsidP="00EA61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 xml:space="preserve">1.8 </w:t>
            </w:r>
          </w:p>
        </w:tc>
        <w:tc>
          <w:tcPr>
            <w:tcW w:w="1096" w:type="dxa"/>
          </w:tcPr>
          <w:p w14:paraId="0B707671" w14:textId="77777777" w:rsidR="00AD0B45" w:rsidRPr="003A644A" w:rsidRDefault="00AD0B45" w:rsidP="00EA61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 xml:space="preserve">4.0 </w:t>
            </w:r>
          </w:p>
        </w:tc>
        <w:tc>
          <w:tcPr>
            <w:tcW w:w="1099" w:type="dxa"/>
          </w:tcPr>
          <w:p w14:paraId="747C876B" w14:textId="77777777" w:rsidR="00AD0B45" w:rsidRPr="003A644A" w:rsidRDefault="00AD0B45" w:rsidP="00EA61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 xml:space="preserve">6.3 </w:t>
            </w:r>
          </w:p>
        </w:tc>
        <w:tc>
          <w:tcPr>
            <w:tcW w:w="1099" w:type="dxa"/>
          </w:tcPr>
          <w:p w14:paraId="686400D1" w14:textId="77777777" w:rsidR="00AD0B45" w:rsidRPr="003A644A" w:rsidRDefault="00AD0B45" w:rsidP="00EA61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 xml:space="preserve">3.4 </w:t>
            </w:r>
          </w:p>
        </w:tc>
        <w:tc>
          <w:tcPr>
            <w:tcW w:w="1099" w:type="dxa"/>
          </w:tcPr>
          <w:p w14:paraId="5F802FF6" w14:textId="77777777" w:rsidR="00AD0B45" w:rsidRPr="003A644A" w:rsidRDefault="00AD0B45" w:rsidP="00EA61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 xml:space="preserve">7.0 </w:t>
            </w:r>
          </w:p>
        </w:tc>
        <w:tc>
          <w:tcPr>
            <w:tcW w:w="1253" w:type="dxa"/>
          </w:tcPr>
          <w:p w14:paraId="53BCC8A2" w14:textId="77777777" w:rsidR="00AD0B45" w:rsidRPr="003A644A" w:rsidRDefault="00AD0B45" w:rsidP="00EA61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 xml:space="preserve">13.6 </w:t>
            </w:r>
          </w:p>
        </w:tc>
        <w:tc>
          <w:tcPr>
            <w:tcW w:w="947" w:type="dxa"/>
          </w:tcPr>
          <w:p w14:paraId="0C69C7A5" w14:textId="77777777" w:rsidR="00AD0B45" w:rsidRPr="003A644A" w:rsidRDefault="00AD0B45" w:rsidP="00EA61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13.6</w:t>
            </w:r>
          </w:p>
        </w:tc>
      </w:tr>
      <w:tr w:rsidR="00310EDE" w:rsidRPr="003A644A" w14:paraId="0BB3CCDD" w14:textId="77777777" w:rsidTr="00667A97">
        <w:trPr>
          <w:trHeight w:val="235"/>
        </w:trPr>
        <w:tc>
          <w:tcPr>
            <w:cnfStyle w:val="001000000000" w:firstRow="0" w:lastRow="0" w:firstColumn="1" w:lastColumn="0" w:oddVBand="0" w:evenVBand="0" w:oddHBand="0" w:evenHBand="0" w:firstRowFirstColumn="0" w:firstRowLastColumn="0" w:lastRowFirstColumn="0" w:lastRowLastColumn="0"/>
            <w:tcW w:w="9893" w:type="dxa"/>
            <w:gridSpan w:val="9"/>
          </w:tcPr>
          <w:p w14:paraId="6C1C108C" w14:textId="4AB1DA1D" w:rsidR="00310EDE" w:rsidRPr="003A644A" w:rsidRDefault="00310EDE" w:rsidP="00EA6198">
            <w:pPr>
              <w:autoSpaceDE w:val="0"/>
              <w:autoSpaceDN w:val="0"/>
              <w:adjustRightInd w:val="0"/>
              <w:rPr>
                <w:rFonts w:asciiTheme="majorBidi" w:hAnsiTheme="majorBidi" w:cstheme="majorBidi"/>
              </w:rPr>
            </w:pPr>
            <w:r w:rsidRPr="00310EDE">
              <w:rPr>
                <w:rFonts w:asciiTheme="majorBidi" w:hAnsiTheme="majorBidi" w:cstheme="majorBidi"/>
              </w:rPr>
              <w:t xml:space="preserve">Fibrosis progression rate per 100 person-years: </w:t>
            </w:r>
            <w:r>
              <w:rPr>
                <w:rFonts w:asciiTheme="majorBidi" w:hAnsiTheme="majorBidi" w:cstheme="majorBidi"/>
              </w:rPr>
              <w:t>Fem</w:t>
            </w:r>
            <w:r w:rsidRPr="00310EDE">
              <w:rPr>
                <w:rFonts w:asciiTheme="majorBidi" w:hAnsiTheme="majorBidi" w:cstheme="majorBidi"/>
              </w:rPr>
              <w:t>ale</w:t>
            </w:r>
          </w:p>
        </w:tc>
      </w:tr>
      <w:tr w:rsidR="00AD0B45" w:rsidRPr="003A644A" w14:paraId="139452EA" w14:textId="77777777" w:rsidTr="00310EDE">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1256" w:type="dxa"/>
          </w:tcPr>
          <w:p w14:paraId="0BC6F375" w14:textId="77777777" w:rsidR="00AD0B45" w:rsidRPr="003A644A" w:rsidRDefault="00AD0B45" w:rsidP="00EA6198">
            <w:pPr>
              <w:autoSpaceDE w:val="0"/>
              <w:autoSpaceDN w:val="0"/>
              <w:adjustRightInd w:val="0"/>
              <w:rPr>
                <w:rFonts w:asciiTheme="majorBidi" w:hAnsiTheme="majorBidi" w:cstheme="majorBidi"/>
              </w:rPr>
            </w:pPr>
            <w:r w:rsidRPr="003A644A">
              <w:rPr>
                <w:rFonts w:asciiTheme="majorBidi" w:hAnsiTheme="majorBidi" w:cstheme="majorBidi"/>
              </w:rPr>
              <w:t xml:space="preserve">F0 -&gt; F1 </w:t>
            </w:r>
          </w:p>
        </w:tc>
        <w:tc>
          <w:tcPr>
            <w:tcW w:w="1102" w:type="dxa"/>
          </w:tcPr>
          <w:p w14:paraId="6A7699AE" w14:textId="77777777" w:rsidR="00AD0B45" w:rsidRPr="003A644A" w:rsidRDefault="00AD0B45" w:rsidP="00EA61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3.8</w:t>
            </w:r>
          </w:p>
        </w:tc>
        <w:tc>
          <w:tcPr>
            <w:tcW w:w="942" w:type="dxa"/>
          </w:tcPr>
          <w:p w14:paraId="62F2A1AB" w14:textId="77777777" w:rsidR="00AD0B45" w:rsidRPr="003A644A" w:rsidRDefault="00AD0B45" w:rsidP="00EA61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3.1</w:t>
            </w:r>
          </w:p>
        </w:tc>
        <w:tc>
          <w:tcPr>
            <w:tcW w:w="1096" w:type="dxa"/>
          </w:tcPr>
          <w:p w14:paraId="113107D2" w14:textId="77777777" w:rsidR="00AD0B45" w:rsidRPr="003A644A" w:rsidRDefault="00AD0B45" w:rsidP="00EA61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2.2</w:t>
            </w:r>
          </w:p>
        </w:tc>
        <w:tc>
          <w:tcPr>
            <w:tcW w:w="1099" w:type="dxa"/>
          </w:tcPr>
          <w:p w14:paraId="2105CFF1" w14:textId="77777777" w:rsidR="00AD0B45" w:rsidRPr="003A644A" w:rsidRDefault="00AD0B45" w:rsidP="00EA61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8.2</w:t>
            </w:r>
          </w:p>
        </w:tc>
        <w:tc>
          <w:tcPr>
            <w:tcW w:w="1099" w:type="dxa"/>
          </w:tcPr>
          <w:p w14:paraId="7707236B" w14:textId="77777777" w:rsidR="00AD0B45" w:rsidRPr="003A644A" w:rsidRDefault="00AD0B45" w:rsidP="00EA61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10.2</w:t>
            </w:r>
          </w:p>
        </w:tc>
        <w:tc>
          <w:tcPr>
            <w:tcW w:w="1099" w:type="dxa"/>
          </w:tcPr>
          <w:p w14:paraId="67E6BC06" w14:textId="77777777" w:rsidR="00AD0B45" w:rsidRPr="003A644A" w:rsidRDefault="00AD0B45" w:rsidP="00EA61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11.5</w:t>
            </w:r>
          </w:p>
        </w:tc>
        <w:tc>
          <w:tcPr>
            <w:tcW w:w="1253" w:type="dxa"/>
          </w:tcPr>
          <w:p w14:paraId="19C831A3" w14:textId="77777777" w:rsidR="00AD0B45" w:rsidRPr="003A644A" w:rsidRDefault="00AD0B45" w:rsidP="00EA61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12.9</w:t>
            </w:r>
          </w:p>
        </w:tc>
        <w:tc>
          <w:tcPr>
            <w:tcW w:w="947" w:type="dxa"/>
          </w:tcPr>
          <w:p w14:paraId="3024EC91" w14:textId="77777777" w:rsidR="00AD0B45" w:rsidRPr="003A644A" w:rsidRDefault="00AD0B45" w:rsidP="00EA61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10.6</w:t>
            </w:r>
          </w:p>
        </w:tc>
      </w:tr>
      <w:tr w:rsidR="00AD0B45" w:rsidRPr="003A644A" w14:paraId="3DB0D42D" w14:textId="77777777" w:rsidTr="00310EDE">
        <w:trPr>
          <w:trHeight w:val="262"/>
        </w:trPr>
        <w:tc>
          <w:tcPr>
            <w:cnfStyle w:val="001000000000" w:firstRow="0" w:lastRow="0" w:firstColumn="1" w:lastColumn="0" w:oddVBand="0" w:evenVBand="0" w:oddHBand="0" w:evenHBand="0" w:firstRowFirstColumn="0" w:firstRowLastColumn="0" w:lastRowFirstColumn="0" w:lastRowLastColumn="0"/>
            <w:tcW w:w="1256" w:type="dxa"/>
          </w:tcPr>
          <w:p w14:paraId="3C3DA57D" w14:textId="77777777" w:rsidR="00AD0B45" w:rsidRPr="003A644A" w:rsidRDefault="00AD0B45" w:rsidP="00EA6198">
            <w:pPr>
              <w:autoSpaceDE w:val="0"/>
              <w:autoSpaceDN w:val="0"/>
              <w:adjustRightInd w:val="0"/>
              <w:rPr>
                <w:rFonts w:asciiTheme="majorBidi" w:hAnsiTheme="majorBidi" w:cstheme="majorBidi"/>
              </w:rPr>
            </w:pPr>
            <w:r w:rsidRPr="003A644A">
              <w:rPr>
                <w:rFonts w:asciiTheme="majorBidi" w:hAnsiTheme="majorBidi" w:cstheme="majorBidi"/>
              </w:rPr>
              <w:t xml:space="preserve">F1 -&gt; F2 </w:t>
            </w:r>
          </w:p>
        </w:tc>
        <w:tc>
          <w:tcPr>
            <w:tcW w:w="1102" w:type="dxa"/>
          </w:tcPr>
          <w:p w14:paraId="24027505" w14:textId="77777777" w:rsidR="00AD0B45" w:rsidRPr="003A644A" w:rsidRDefault="00AD0B45" w:rsidP="00EA61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2.8</w:t>
            </w:r>
          </w:p>
        </w:tc>
        <w:tc>
          <w:tcPr>
            <w:tcW w:w="942" w:type="dxa"/>
          </w:tcPr>
          <w:p w14:paraId="0D4FF4AC" w14:textId="77777777" w:rsidR="00AD0B45" w:rsidRPr="003A644A" w:rsidRDefault="00AD0B45" w:rsidP="00EA61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2.2</w:t>
            </w:r>
          </w:p>
        </w:tc>
        <w:tc>
          <w:tcPr>
            <w:tcW w:w="1096" w:type="dxa"/>
          </w:tcPr>
          <w:p w14:paraId="4F6A1245" w14:textId="77777777" w:rsidR="00AD0B45" w:rsidRPr="003A644A" w:rsidRDefault="00AD0B45" w:rsidP="00EA61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1.6</w:t>
            </w:r>
          </w:p>
        </w:tc>
        <w:tc>
          <w:tcPr>
            <w:tcW w:w="1099" w:type="dxa"/>
          </w:tcPr>
          <w:p w14:paraId="334BCC37" w14:textId="77777777" w:rsidR="00AD0B45" w:rsidRPr="003A644A" w:rsidRDefault="00AD0B45" w:rsidP="00EA61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6.0</w:t>
            </w:r>
          </w:p>
        </w:tc>
        <w:tc>
          <w:tcPr>
            <w:tcW w:w="1099" w:type="dxa"/>
          </w:tcPr>
          <w:p w14:paraId="7DE62A13" w14:textId="77777777" w:rsidR="00AD0B45" w:rsidRPr="003A644A" w:rsidRDefault="00AD0B45" w:rsidP="00EA61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7.4</w:t>
            </w:r>
          </w:p>
        </w:tc>
        <w:tc>
          <w:tcPr>
            <w:tcW w:w="1099" w:type="dxa"/>
          </w:tcPr>
          <w:p w14:paraId="01E921C7" w14:textId="77777777" w:rsidR="00AD0B45" w:rsidRPr="003A644A" w:rsidRDefault="00AD0B45" w:rsidP="00EA61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8.3</w:t>
            </w:r>
          </w:p>
        </w:tc>
        <w:tc>
          <w:tcPr>
            <w:tcW w:w="1253" w:type="dxa"/>
          </w:tcPr>
          <w:p w14:paraId="67C180F8" w14:textId="77777777" w:rsidR="00AD0B45" w:rsidRPr="003A644A" w:rsidRDefault="00AD0B45" w:rsidP="00EA61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9.4</w:t>
            </w:r>
          </w:p>
        </w:tc>
        <w:tc>
          <w:tcPr>
            <w:tcW w:w="947" w:type="dxa"/>
          </w:tcPr>
          <w:p w14:paraId="057D9459" w14:textId="77777777" w:rsidR="00AD0B45" w:rsidRPr="003A644A" w:rsidRDefault="00AD0B45" w:rsidP="00EA61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7.7</w:t>
            </w:r>
          </w:p>
        </w:tc>
      </w:tr>
      <w:tr w:rsidR="00AD0B45" w:rsidRPr="003A644A" w14:paraId="2D77BF43" w14:textId="77777777" w:rsidTr="00310EDE">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256" w:type="dxa"/>
          </w:tcPr>
          <w:p w14:paraId="43C8A4E1" w14:textId="77777777" w:rsidR="00AD0B45" w:rsidRPr="003A644A" w:rsidRDefault="00AD0B45" w:rsidP="00EA6198">
            <w:pPr>
              <w:autoSpaceDE w:val="0"/>
              <w:autoSpaceDN w:val="0"/>
              <w:adjustRightInd w:val="0"/>
              <w:rPr>
                <w:rFonts w:asciiTheme="majorBidi" w:hAnsiTheme="majorBidi" w:cstheme="majorBidi"/>
              </w:rPr>
            </w:pPr>
            <w:r w:rsidRPr="003A644A">
              <w:rPr>
                <w:rFonts w:asciiTheme="majorBidi" w:hAnsiTheme="majorBidi" w:cstheme="majorBidi"/>
              </w:rPr>
              <w:t xml:space="preserve">F2 -&gt; F3 </w:t>
            </w:r>
          </w:p>
        </w:tc>
        <w:tc>
          <w:tcPr>
            <w:tcW w:w="1102" w:type="dxa"/>
          </w:tcPr>
          <w:p w14:paraId="036A201D" w14:textId="77777777" w:rsidR="00AD0B45" w:rsidRPr="003A644A" w:rsidRDefault="00AD0B45" w:rsidP="00EA61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3.9</w:t>
            </w:r>
          </w:p>
        </w:tc>
        <w:tc>
          <w:tcPr>
            <w:tcW w:w="942" w:type="dxa"/>
          </w:tcPr>
          <w:p w14:paraId="195E99E2" w14:textId="77777777" w:rsidR="00AD0B45" w:rsidRPr="003A644A" w:rsidRDefault="00AD0B45" w:rsidP="00EA61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3.1</w:t>
            </w:r>
          </w:p>
        </w:tc>
        <w:tc>
          <w:tcPr>
            <w:tcW w:w="1096" w:type="dxa"/>
          </w:tcPr>
          <w:p w14:paraId="5D42200F" w14:textId="77777777" w:rsidR="00AD0B45" w:rsidRPr="003A644A" w:rsidRDefault="00AD0B45" w:rsidP="00EA61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2.3</w:t>
            </w:r>
          </w:p>
        </w:tc>
        <w:tc>
          <w:tcPr>
            <w:tcW w:w="1099" w:type="dxa"/>
          </w:tcPr>
          <w:p w14:paraId="4CD4B8B0" w14:textId="77777777" w:rsidR="00AD0B45" w:rsidRPr="003A644A" w:rsidRDefault="00AD0B45" w:rsidP="00EA61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8.5</w:t>
            </w:r>
          </w:p>
        </w:tc>
        <w:tc>
          <w:tcPr>
            <w:tcW w:w="1099" w:type="dxa"/>
          </w:tcPr>
          <w:p w14:paraId="17BE1E98" w14:textId="77777777" w:rsidR="00AD0B45" w:rsidRPr="003A644A" w:rsidRDefault="00AD0B45" w:rsidP="00EA61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10.4</w:t>
            </w:r>
          </w:p>
        </w:tc>
        <w:tc>
          <w:tcPr>
            <w:tcW w:w="1099" w:type="dxa"/>
          </w:tcPr>
          <w:p w14:paraId="73A85AD9" w14:textId="77777777" w:rsidR="00AD0B45" w:rsidRPr="003A644A" w:rsidRDefault="00AD0B45" w:rsidP="00EA61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11.8</w:t>
            </w:r>
          </w:p>
        </w:tc>
        <w:tc>
          <w:tcPr>
            <w:tcW w:w="1253" w:type="dxa"/>
          </w:tcPr>
          <w:p w14:paraId="1CB2286D" w14:textId="77777777" w:rsidR="00AD0B45" w:rsidRPr="003A644A" w:rsidRDefault="00AD0B45" w:rsidP="00EA61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13.2</w:t>
            </w:r>
          </w:p>
        </w:tc>
        <w:tc>
          <w:tcPr>
            <w:tcW w:w="947" w:type="dxa"/>
          </w:tcPr>
          <w:p w14:paraId="79C59F28" w14:textId="77777777" w:rsidR="00AD0B45" w:rsidRPr="003A644A" w:rsidRDefault="00AD0B45" w:rsidP="00EA61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10.9</w:t>
            </w:r>
          </w:p>
        </w:tc>
      </w:tr>
      <w:tr w:rsidR="00AD0B45" w:rsidRPr="003A644A" w14:paraId="53E78D25" w14:textId="77777777" w:rsidTr="00310EDE">
        <w:trPr>
          <w:trHeight w:val="262"/>
        </w:trPr>
        <w:tc>
          <w:tcPr>
            <w:cnfStyle w:val="001000000000" w:firstRow="0" w:lastRow="0" w:firstColumn="1" w:lastColumn="0" w:oddVBand="0" w:evenVBand="0" w:oddHBand="0" w:evenHBand="0" w:firstRowFirstColumn="0" w:firstRowLastColumn="0" w:lastRowFirstColumn="0" w:lastRowLastColumn="0"/>
            <w:tcW w:w="1256" w:type="dxa"/>
          </w:tcPr>
          <w:p w14:paraId="65F13F62" w14:textId="77777777" w:rsidR="00AD0B45" w:rsidRPr="003A644A" w:rsidRDefault="00AD0B45" w:rsidP="00EA6198">
            <w:pPr>
              <w:autoSpaceDE w:val="0"/>
              <w:autoSpaceDN w:val="0"/>
              <w:adjustRightInd w:val="0"/>
              <w:rPr>
                <w:rFonts w:asciiTheme="majorBidi" w:hAnsiTheme="majorBidi" w:cstheme="majorBidi"/>
              </w:rPr>
            </w:pPr>
            <w:r w:rsidRPr="003A644A">
              <w:rPr>
                <w:rFonts w:asciiTheme="majorBidi" w:hAnsiTheme="majorBidi" w:cstheme="majorBidi"/>
              </w:rPr>
              <w:t>F3 -&gt; F4</w:t>
            </w:r>
          </w:p>
        </w:tc>
        <w:tc>
          <w:tcPr>
            <w:tcW w:w="1102" w:type="dxa"/>
          </w:tcPr>
          <w:p w14:paraId="73198ED4" w14:textId="77777777" w:rsidR="00AD0B45" w:rsidRPr="003A644A" w:rsidRDefault="00AD0B45" w:rsidP="00EA61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0.4</w:t>
            </w:r>
          </w:p>
        </w:tc>
        <w:tc>
          <w:tcPr>
            <w:tcW w:w="942" w:type="dxa"/>
          </w:tcPr>
          <w:p w14:paraId="3689615D" w14:textId="77777777" w:rsidR="00AD0B45" w:rsidRPr="003A644A" w:rsidRDefault="00AD0B45" w:rsidP="00EA61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1.5</w:t>
            </w:r>
          </w:p>
        </w:tc>
        <w:tc>
          <w:tcPr>
            <w:tcW w:w="1096" w:type="dxa"/>
          </w:tcPr>
          <w:p w14:paraId="4F68FA7C" w14:textId="77777777" w:rsidR="00AD0B45" w:rsidRPr="003A644A" w:rsidRDefault="00AD0B45" w:rsidP="00EA61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3.3</w:t>
            </w:r>
          </w:p>
        </w:tc>
        <w:tc>
          <w:tcPr>
            <w:tcW w:w="1099" w:type="dxa"/>
          </w:tcPr>
          <w:p w14:paraId="095E4EC0" w14:textId="77777777" w:rsidR="00AD0B45" w:rsidRPr="003A644A" w:rsidRDefault="00AD0B45" w:rsidP="00EA61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5.3</w:t>
            </w:r>
          </w:p>
        </w:tc>
        <w:tc>
          <w:tcPr>
            <w:tcW w:w="1099" w:type="dxa"/>
          </w:tcPr>
          <w:p w14:paraId="01FFDE37" w14:textId="77777777" w:rsidR="00AD0B45" w:rsidRPr="003A644A" w:rsidRDefault="00AD0B45" w:rsidP="00EA61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2.8</w:t>
            </w:r>
          </w:p>
        </w:tc>
        <w:tc>
          <w:tcPr>
            <w:tcW w:w="1099" w:type="dxa"/>
          </w:tcPr>
          <w:p w14:paraId="4FFC9BE0" w14:textId="77777777" w:rsidR="00AD0B45" w:rsidRPr="003A644A" w:rsidRDefault="00AD0B45" w:rsidP="00EA61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5.9</w:t>
            </w:r>
          </w:p>
        </w:tc>
        <w:tc>
          <w:tcPr>
            <w:tcW w:w="1253" w:type="dxa"/>
          </w:tcPr>
          <w:p w14:paraId="28F4CD8D" w14:textId="77777777" w:rsidR="00AD0B45" w:rsidRPr="003A644A" w:rsidRDefault="00AD0B45" w:rsidP="00EA61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11.3</w:t>
            </w:r>
          </w:p>
        </w:tc>
        <w:tc>
          <w:tcPr>
            <w:tcW w:w="947" w:type="dxa"/>
          </w:tcPr>
          <w:p w14:paraId="527E574A" w14:textId="77777777" w:rsidR="00AD0B45" w:rsidRPr="003A644A" w:rsidRDefault="00AD0B45" w:rsidP="00EA61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11.3</w:t>
            </w:r>
          </w:p>
        </w:tc>
      </w:tr>
      <w:tr w:rsidR="00AD0B45" w:rsidRPr="003A644A" w14:paraId="3409B20D" w14:textId="77777777" w:rsidTr="00310EDE">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9893" w:type="dxa"/>
            <w:gridSpan w:val="9"/>
          </w:tcPr>
          <w:p w14:paraId="751EA76B" w14:textId="77777777" w:rsidR="00AD0B45" w:rsidRPr="003A644A" w:rsidRDefault="00AD0B45" w:rsidP="00EA6198">
            <w:pPr>
              <w:autoSpaceDE w:val="0"/>
              <w:autoSpaceDN w:val="0"/>
              <w:adjustRightInd w:val="0"/>
              <w:rPr>
                <w:rFonts w:asciiTheme="majorBidi" w:hAnsiTheme="majorBidi" w:cstheme="majorBidi"/>
              </w:rPr>
            </w:pPr>
            <w:r w:rsidRPr="003A644A">
              <w:rPr>
                <w:rFonts w:asciiTheme="majorBidi" w:hAnsiTheme="majorBidi" w:cstheme="majorBidi"/>
              </w:rPr>
              <w:t>Hazard ratio to modify the progression rate if the patient is a moderate, or excessive alcohol consumer</w:t>
            </w:r>
          </w:p>
        </w:tc>
      </w:tr>
      <w:tr w:rsidR="00AD0B45" w:rsidRPr="003A644A" w14:paraId="65A922A5" w14:textId="77777777" w:rsidTr="00310EDE">
        <w:trPr>
          <w:trHeight w:val="496"/>
        </w:trPr>
        <w:tc>
          <w:tcPr>
            <w:cnfStyle w:val="001000000000" w:firstRow="0" w:lastRow="0" w:firstColumn="1" w:lastColumn="0" w:oddVBand="0" w:evenVBand="0" w:oddHBand="0" w:evenHBand="0" w:firstRowFirstColumn="0" w:firstRowLastColumn="0" w:lastRowFirstColumn="0" w:lastRowLastColumn="0"/>
            <w:tcW w:w="1256" w:type="dxa"/>
          </w:tcPr>
          <w:p w14:paraId="73007210" w14:textId="77777777" w:rsidR="00AD0B45" w:rsidRPr="003A644A" w:rsidRDefault="00AD0B45" w:rsidP="00EA6198">
            <w:pPr>
              <w:autoSpaceDE w:val="0"/>
              <w:autoSpaceDN w:val="0"/>
              <w:adjustRightInd w:val="0"/>
              <w:rPr>
                <w:rFonts w:asciiTheme="majorBidi" w:hAnsiTheme="majorBidi" w:cstheme="majorBidi"/>
              </w:rPr>
            </w:pPr>
            <w:r w:rsidRPr="003A644A">
              <w:rPr>
                <w:rFonts w:asciiTheme="majorBidi" w:hAnsiTheme="majorBidi" w:cstheme="majorBidi"/>
              </w:rPr>
              <w:t>F0 -&gt; F1</w:t>
            </w:r>
          </w:p>
        </w:tc>
        <w:tc>
          <w:tcPr>
            <w:tcW w:w="8637" w:type="dxa"/>
            <w:gridSpan w:val="8"/>
          </w:tcPr>
          <w:p w14:paraId="7324CBBE" w14:textId="77777777" w:rsidR="00AD0B45" w:rsidRPr="003A644A" w:rsidRDefault="00AD0B45" w:rsidP="00EA61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1 non, 1.16 moderate, 1.33 excessive alcohol consumer</w:t>
            </w:r>
          </w:p>
        </w:tc>
      </w:tr>
      <w:tr w:rsidR="00AD0B45" w:rsidRPr="003A644A" w14:paraId="4EA2D43A" w14:textId="77777777" w:rsidTr="00310EDE">
        <w:trPr>
          <w:cnfStyle w:val="000000100000" w:firstRow="0" w:lastRow="0" w:firstColumn="0" w:lastColumn="0" w:oddVBand="0" w:evenVBand="0" w:oddHBand="1"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1256" w:type="dxa"/>
          </w:tcPr>
          <w:p w14:paraId="24A30011" w14:textId="77777777" w:rsidR="00AD0B45" w:rsidRPr="003A644A" w:rsidRDefault="00AD0B45" w:rsidP="00EA6198">
            <w:pPr>
              <w:autoSpaceDE w:val="0"/>
              <w:autoSpaceDN w:val="0"/>
              <w:adjustRightInd w:val="0"/>
              <w:rPr>
                <w:rFonts w:asciiTheme="majorBidi" w:hAnsiTheme="majorBidi" w:cstheme="majorBidi"/>
              </w:rPr>
            </w:pPr>
            <w:r w:rsidRPr="003A644A">
              <w:rPr>
                <w:rFonts w:asciiTheme="majorBidi" w:hAnsiTheme="majorBidi" w:cstheme="majorBidi"/>
              </w:rPr>
              <w:t>F1 -&gt; F2</w:t>
            </w:r>
          </w:p>
        </w:tc>
        <w:tc>
          <w:tcPr>
            <w:tcW w:w="8637" w:type="dxa"/>
            <w:gridSpan w:val="8"/>
          </w:tcPr>
          <w:p w14:paraId="1C4643C6" w14:textId="77777777" w:rsidR="00AD0B45" w:rsidRPr="003A644A" w:rsidRDefault="00AD0B45" w:rsidP="00EA61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1 non, 1.3 moderate, 2.22excessive alcohol consumer</w:t>
            </w:r>
          </w:p>
        </w:tc>
      </w:tr>
      <w:tr w:rsidR="00AD0B45" w:rsidRPr="003A644A" w14:paraId="5638BC55" w14:textId="77777777" w:rsidTr="00310EDE">
        <w:trPr>
          <w:trHeight w:val="532"/>
        </w:trPr>
        <w:tc>
          <w:tcPr>
            <w:cnfStyle w:val="001000000000" w:firstRow="0" w:lastRow="0" w:firstColumn="1" w:lastColumn="0" w:oddVBand="0" w:evenVBand="0" w:oddHBand="0" w:evenHBand="0" w:firstRowFirstColumn="0" w:firstRowLastColumn="0" w:lastRowFirstColumn="0" w:lastRowLastColumn="0"/>
            <w:tcW w:w="1256" w:type="dxa"/>
          </w:tcPr>
          <w:p w14:paraId="57B491FB" w14:textId="77777777" w:rsidR="00AD0B45" w:rsidRPr="003A644A" w:rsidRDefault="00AD0B45" w:rsidP="00EA6198">
            <w:pPr>
              <w:autoSpaceDE w:val="0"/>
              <w:autoSpaceDN w:val="0"/>
              <w:adjustRightInd w:val="0"/>
              <w:rPr>
                <w:rFonts w:asciiTheme="majorBidi" w:hAnsiTheme="majorBidi" w:cstheme="majorBidi"/>
              </w:rPr>
            </w:pPr>
            <w:r w:rsidRPr="003A644A">
              <w:rPr>
                <w:rFonts w:asciiTheme="majorBidi" w:hAnsiTheme="majorBidi" w:cstheme="majorBidi"/>
              </w:rPr>
              <w:t>F2 -&gt; F3</w:t>
            </w:r>
          </w:p>
        </w:tc>
        <w:tc>
          <w:tcPr>
            <w:tcW w:w="8637" w:type="dxa"/>
            <w:gridSpan w:val="8"/>
          </w:tcPr>
          <w:p w14:paraId="45512D04" w14:textId="77777777" w:rsidR="00AD0B45" w:rsidRPr="003A644A" w:rsidRDefault="00AD0B45" w:rsidP="00EA61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1 non, 1.3 moderate, 2.22 excessive alcohol consumer</w:t>
            </w:r>
            <w:r w:rsidRPr="003A644A" w:rsidDel="00A46BB2">
              <w:rPr>
                <w:rFonts w:asciiTheme="majorBidi" w:hAnsiTheme="majorBidi" w:cstheme="majorBidi"/>
              </w:rPr>
              <w:t xml:space="preserve"> </w:t>
            </w:r>
          </w:p>
        </w:tc>
      </w:tr>
      <w:tr w:rsidR="00AD0B45" w:rsidRPr="003A644A" w14:paraId="0C3615E1" w14:textId="77777777" w:rsidTr="00310EDE">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1256" w:type="dxa"/>
          </w:tcPr>
          <w:p w14:paraId="599DE677" w14:textId="77777777" w:rsidR="00AD0B45" w:rsidRPr="003A644A" w:rsidRDefault="00AD0B45" w:rsidP="00EA6198">
            <w:pPr>
              <w:autoSpaceDE w:val="0"/>
              <w:autoSpaceDN w:val="0"/>
              <w:adjustRightInd w:val="0"/>
              <w:rPr>
                <w:rFonts w:asciiTheme="majorBidi" w:hAnsiTheme="majorBidi" w:cstheme="majorBidi"/>
              </w:rPr>
            </w:pPr>
            <w:r w:rsidRPr="003A644A">
              <w:rPr>
                <w:rFonts w:asciiTheme="majorBidi" w:hAnsiTheme="majorBidi" w:cstheme="majorBidi"/>
              </w:rPr>
              <w:t>F3 -&gt; F4</w:t>
            </w:r>
          </w:p>
        </w:tc>
        <w:tc>
          <w:tcPr>
            <w:tcW w:w="8637" w:type="dxa"/>
            <w:gridSpan w:val="8"/>
          </w:tcPr>
          <w:p w14:paraId="199F380D" w14:textId="77777777" w:rsidR="00AD0B45" w:rsidRPr="003A644A" w:rsidRDefault="00AD0B45" w:rsidP="00EA61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A644A">
              <w:rPr>
                <w:rFonts w:asciiTheme="majorBidi" w:hAnsiTheme="majorBidi" w:cstheme="majorBidi"/>
              </w:rPr>
              <w:t>1 non, 1.16 moderate, 4 excessive alcohol consumer</w:t>
            </w:r>
          </w:p>
        </w:tc>
      </w:tr>
    </w:tbl>
    <w:p w14:paraId="11F21356" w14:textId="77777777" w:rsidR="00AD0B45" w:rsidRPr="003A644A" w:rsidRDefault="00AD0B45" w:rsidP="00F0461D">
      <w:pPr>
        <w:jc w:val="both"/>
        <w:rPr>
          <w:rFonts w:asciiTheme="majorBidi" w:hAnsiTheme="majorBidi" w:cstheme="majorBidi"/>
        </w:rPr>
      </w:pPr>
      <w:r w:rsidRPr="003A644A">
        <w:rPr>
          <w:rFonts w:asciiTheme="majorBidi" w:hAnsiTheme="majorBidi" w:cstheme="majorBidi"/>
          <w:vertAlign w:val="superscript"/>
        </w:rPr>
        <w:t>1</w:t>
      </w:r>
      <w:r w:rsidRPr="003A644A">
        <w:rPr>
          <w:rFonts w:asciiTheme="majorBidi" w:hAnsiTheme="majorBidi" w:cstheme="majorBidi"/>
        </w:rPr>
        <w:t xml:space="preserve">We used the fibrosis progression rates between METAVIR stages F0 and F4 from a study conducted by </w:t>
      </w:r>
      <w:proofErr w:type="spellStart"/>
      <w:r w:rsidRPr="003A644A">
        <w:rPr>
          <w:rFonts w:asciiTheme="majorBidi" w:hAnsiTheme="majorBidi" w:cstheme="majorBidi"/>
        </w:rPr>
        <w:t>Razavi</w:t>
      </w:r>
      <w:proofErr w:type="spellEnd"/>
      <w:r w:rsidRPr="003A644A">
        <w:rPr>
          <w:rFonts w:asciiTheme="majorBidi" w:hAnsiTheme="majorBidi" w:cstheme="majorBidi"/>
        </w:rPr>
        <w:t xml:space="preserve"> et al. [1] Fibrosis progression rates were back-calculated from data from the US (US Surveillance, Epidemiology and End Results; SEER). They used the results of Harris et al. [2] who used a similar back-calculation method for calculating the fibrosis progression rates for patients from the UK, as a guidance.</w:t>
      </w:r>
    </w:p>
    <w:p w14:paraId="0EDC7F5F" w14:textId="77777777" w:rsidR="00AD0B45" w:rsidRPr="003A644A" w:rsidRDefault="00AD0B45" w:rsidP="00AD0B45">
      <w:pPr>
        <w:pStyle w:val="Caption"/>
        <w:keepNext/>
        <w:rPr>
          <w:rFonts w:asciiTheme="majorBidi" w:hAnsiTheme="majorBidi" w:cstheme="majorBidi"/>
          <w:b/>
          <w:i w:val="0"/>
          <w:color w:val="auto"/>
          <w:sz w:val="20"/>
          <w:szCs w:val="20"/>
        </w:rPr>
      </w:pPr>
    </w:p>
    <w:p w14:paraId="3C0F0AAC" w14:textId="77777777" w:rsidR="00AD0B45" w:rsidRPr="003A644A" w:rsidRDefault="00AD0B45" w:rsidP="00AD0B45">
      <w:pPr>
        <w:pStyle w:val="Caption"/>
        <w:keepNext/>
        <w:rPr>
          <w:rFonts w:asciiTheme="majorBidi" w:hAnsiTheme="majorBidi" w:cstheme="majorBidi"/>
          <w:b/>
          <w:i w:val="0"/>
          <w:color w:val="auto"/>
          <w:sz w:val="20"/>
          <w:szCs w:val="20"/>
        </w:rPr>
      </w:pPr>
    </w:p>
    <w:p w14:paraId="281933F0" w14:textId="77777777" w:rsidR="00AD0B45" w:rsidRPr="003A644A" w:rsidRDefault="00AD0B45" w:rsidP="00AD0B45">
      <w:pPr>
        <w:rPr>
          <w:rFonts w:asciiTheme="majorBidi" w:hAnsiTheme="majorBidi" w:cstheme="majorBidi"/>
        </w:rPr>
      </w:pPr>
    </w:p>
    <w:p w14:paraId="69EA54A7" w14:textId="77777777" w:rsidR="00AD0B45" w:rsidRPr="003A644A" w:rsidRDefault="00AD0B45" w:rsidP="00AD0B45">
      <w:pPr>
        <w:rPr>
          <w:rFonts w:asciiTheme="majorBidi" w:hAnsiTheme="majorBidi" w:cstheme="majorBidi"/>
        </w:rPr>
      </w:pPr>
    </w:p>
    <w:p w14:paraId="5DBE7C08" w14:textId="4F8C8C31" w:rsidR="00AD0B45" w:rsidRPr="003A644A" w:rsidRDefault="00AD0B45" w:rsidP="00AD0B45">
      <w:pPr>
        <w:rPr>
          <w:rFonts w:asciiTheme="majorBidi" w:hAnsiTheme="majorBidi" w:cstheme="majorBidi"/>
        </w:rPr>
      </w:pPr>
    </w:p>
    <w:p w14:paraId="5DEB2132" w14:textId="20655C80" w:rsidR="00553CE5" w:rsidRPr="003A644A" w:rsidRDefault="00553CE5" w:rsidP="00AD0B45">
      <w:pPr>
        <w:rPr>
          <w:rFonts w:asciiTheme="majorBidi" w:hAnsiTheme="majorBidi" w:cstheme="majorBidi"/>
        </w:rPr>
      </w:pPr>
    </w:p>
    <w:p w14:paraId="6B9A4C1A" w14:textId="196664BA" w:rsidR="00553CE5" w:rsidRPr="003A644A" w:rsidRDefault="00553CE5" w:rsidP="00AD0B45">
      <w:pPr>
        <w:rPr>
          <w:rFonts w:asciiTheme="majorBidi" w:hAnsiTheme="majorBidi" w:cstheme="majorBidi"/>
        </w:rPr>
      </w:pPr>
    </w:p>
    <w:p w14:paraId="083300FA" w14:textId="77777777" w:rsidR="00553CE5" w:rsidRPr="003A644A" w:rsidRDefault="00553CE5" w:rsidP="00AD0B45">
      <w:pPr>
        <w:rPr>
          <w:rFonts w:asciiTheme="majorBidi" w:hAnsiTheme="majorBidi" w:cstheme="majorBidi"/>
        </w:rPr>
      </w:pPr>
    </w:p>
    <w:p w14:paraId="6FA9384A" w14:textId="77777777" w:rsidR="00AD0B45" w:rsidRPr="003A644A" w:rsidRDefault="00AD0B45" w:rsidP="00AD0B45">
      <w:pPr>
        <w:rPr>
          <w:rFonts w:asciiTheme="majorBidi" w:hAnsiTheme="majorBidi" w:cstheme="majorBidi"/>
        </w:rPr>
      </w:pPr>
    </w:p>
    <w:p w14:paraId="49E1529D" w14:textId="77777777" w:rsidR="00AD0B45" w:rsidRPr="003A644A" w:rsidRDefault="00AD0B45" w:rsidP="00AD0B45">
      <w:pPr>
        <w:rPr>
          <w:rFonts w:asciiTheme="majorBidi" w:hAnsiTheme="majorBidi" w:cstheme="majorBidi"/>
        </w:rPr>
      </w:pPr>
    </w:p>
    <w:p w14:paraId="4F5E79A4" w14:textId="77777777" w:rsidR="00AD0B45" w:rsidRPr="003A644A" w:rsidRDefault="00AD0B45" w:rsidP="008B5460">
      <w:pPr>
        <w:pStyle w:val="Caption"/>
        <w:keepNext/>
        <w:outlineLvl w:val="0"/>
        <w:rPr>
          <w:rFonts w:asciiTheme="majorBidi" w:hAnsiTheme="majorBidi" w:cstheme="majorBidi"/>
          <w:b/>
          <w:i w:val="0"/>
          <w:color w:val="auto"/>
          <w:sz w:val="20"/>
          <w:szCs w:val="20"/>
        </w:rPr>
      </w:pPr>
      <w:bookmarkStart w:id="1" w:name="_Toc26552227"/>
      <w:r w:rsidRPr="003A644A">
        <w:rPr>
          <w:rFonts w:asciiTheme="majorBidi" w:hAnsiTheme="majorBidi" w:cstheme="majorBidi"/>
          <w:b/>
          <w:i w:val="0"/>
          <w:color w:val="auto"/>
          <w:sz w:val="20"/>
          <w:szCs w:val="20"/>
        </w:rPr>
        <w:t>Supplementary Table 2. Sensitivity analyses</w:t>
      </w:r>
      <w:bookmarkEnd w:id="1"/>
    </w:p>
    <w:tbl>
      <w:tblPr>
        <w:tblStyle w:val="ListTable2-Accent5"/>
        <w:tblW w:w="0" w:type="auto"/>
        <w:tblLook w:val="04A0" w:firstRow="1" w:lastRow="0" w:firstColumn="1" w:lastColumn="0" w:noHBand="0" w:noVBand="1"/>
      </w:tblPr>
      <w:tblGrid>
        <w:gridCol w:w="2263"/>
        <w:gridCol w:w="6539"/>
      </w:tblGrid>
      <w:tr w:rsidR="00AD0B45" w:rsidRPr="003A644A" w14:paraId="1B8625BD" w14:textId="77777777" w:rsidTr="00EA61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66D7B4A" w14:textId="77777777" w:rsidR="00AD0B45" w:rsidRPr="003A644A" w:rsidRDefault="00AD0B45" w:rsidP="00EA6198">
            <w:pPr>
              <w:rPr>
                <w:rFonts w:asciiTheme="majorBidi" w:hAnsiTheme="majorBidi" w:cstheme="majorBidi"/>
                <w:b w:val="0"/>
              </w:rPr>
            </w:pPr>
            <w:r w:rsidRPr="003A644A">
              <w:rPr>
                <w:rFonts w:asciiTheme="majorBidi" w:hAnsiTheme="majorBidi" w:cstheme="majorBidi"/>
              </w:rPr>
              <w:t>Sensitivity analysis</w:t>
            </w:r>
          </w:p>
        </w:tc>
        <w:tc>
          <w:tcPr>
            <w:tcW w:w="6539" w:type="dxa"/>
          </w:tcPr>
          <w:p w14:paraId="611FC99B" w14:textId="77777777" w:rsidR="00AD0B45" w:rsidRPr="003A644A" w:rsidRDefault="00AD0B45" w:rsidP="00EA6198">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rPr>
            </w:pPr>
            <w:r w:rsidRPr="003A644A">
              <w:rPr>
                <w:rFonts w:asciiTheme="majorBidi" w:hAnsiTheme="majorBidi" w:cstheme="majorBidi"/>
              </w:rPr>
              <w:t>Description</w:t>
            </w:r>
          </w:p>
        </w:tc>
      </w:tr>
      <w:tr w:rsidR="00AD0B45" w:rsidRPr="003A644A" w14:paraId="2E3A76B7" w14:textId="77777777" w:rsidTr="00EA6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46282C1" w14:textId="77777777" w:rsidR="00AD0B45" w:rsidRPr="003A644A" w:rsidRDefault="00AD0B45" w:rsidP="00EA6198">
            <w:pPr>
              <w:rPr>
                <w:rFonts w:asciiTheme="majorBidi" w:hAnsiTheme="majorBidi" w:cstheme="majorBidi"/>
              </w:rPr>
            </w:pPr>
            <w:r w:rsidRPr="003A644A">
              <w:rPr>
                <w:rFonts w:asciiTheme="majorBidi" w:hAnsiTheme="majorBidi" w:cstheme="majorBidi"/>
                <w:lang w:val="en-CA"/>
              </w:rPr>
              <w:t>S1</w:t>
            </w:r>
          </w:p>
          <w:p w14:paraId="523ED757" w14:textId="77777777" w:rsidR="00AD0B45" w:rsidRPr="003A644A" w:rsidRDefault="00AD0B45" w:rsidP="00EA6198">
            <w:pPr>
              <w:rPr>
                <w:rFonts w:asciiTheme="majorBidi" w:hAnsiTheme="majorBidi" w:cstheme="majorBidi"/>
              </w:rPr>
            </w:pPr>
          </w:p>
        </w:tc>
        <w:tc>
          <w:tcPr>
            <w:tcW w:w="6539" w:type="dxa"/>
          </w:tcPr>
          <w:p w14:paraId="4FD80B68" w14:textId="77777777" w:rsidR="00AD0B45" w:rsidRPr="003A644A" w:rsidRDefault="00AD0B45" w:rsidP="00EA619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A644A">
              <w:rPr>
                <w:rFonts w:asciiTheme="majorBidi" w:hAnsiTheme="majorBidi" w:cstheme="majorBidi"/>
                <w:lang w:val="en-CA"/>
              </w:rPr>
              <w:t>The cost of PCR test was decreased by 20%.</w:t>
            </w:r>
          </w:p>
        </w:tc>
      </w:tr>
      <w:tr w:rsidR="00AD0B45" w:rsidRPr="003A644A" w14:paraId="37C5735C" w14:textId="77777777" w:rsidTr="00EA6198">
        <w:tc>
          <w:tcPr>
            <w:cnfStyle w:val="001000000000" w:firstRow="0" w:lastRow="0" w:firstColumn="1" w:lastColumn="0" w:oddVBand="0" w:evenVBand="0" w:oddHBand="0" w:evenHBand="0" w:firstRowFirstColumn="0" w:firstRowLastColumn="0" w:lastRowFirstColumn="0" w:lastRowLastColumn="0"/>
            <w:tcW w:w="2263" w:type="dxa"/>
          </w:tcPr>
          <w:p w14:paraId="13E90D78" w14:textId="77777777" w:rsidR="00AD0B45" w:rsidRPr="003A644A" w:rsidRDefault="00AD0B45" w:rsidP="00EA6198">
            <w:pPr>
              <w:rPr>
                <w:rFonts w:asciiTheme="majorBidi" w:hAnsiTheme="majorBidi" w:cstheme="majorBidi"/>
              </w:rPr>
            </w:pPr>
            <w:r w:rsidRPr="003A644A">
              <w:rPr>
                <w:rFonts w:asciiTheme="majorBidi" w:hAnsiTheme="majorBidi" w:cstheme="majorBidi"/>
                <w:lang w:val="en-CA"/>
              </w:rPr>
              <w:t>S2</w:t>
            </w:r>
          </w:p>
          <w:p w14:paraId="6EB676E7" w14:textId="77777777" w:rsidR="00AD0B45" w:rsidRPr="003A644A" w:rsidRDefault="00AD0B45" w:rsidP="00EA6198">
            <w:pPr>
              <w:rPr>
                <w:rFonts w:asciiTheme="majorBidi" w:hAnsiTheme="majorBidi" w:cstheme="majorBidi"/>
              </w:rPr>
            </w:pPr>
          </w:p>
        </w:tc>
        <w:tc>
          <w:tcPr>
            <w:tcW w:w="6539" w:type="dxa"/>
          </w:tcPr>
          <w:p w14:paraId="68FC729A" w14:textId="77777777" w:rsidR="00AD0B45" w:rsidRPr="003A644A" w:rsidRDefault="00AD0B45" w:rsidP="00EA619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A644A">
              <w:rPr>
                <w:rFonts w:asciiTheme="majorBidi" w:hAnsiTheme="majorBidi" w:cstheme="majorBidi"/>
                <w:lang w:val="en-CA"/>
              </w:rPr>
              <w:t>The cost of antigen test was decreased by 30%.</w:t>
            </w:r>
          </w:p>
        </w:tc>
      </w:tr>
      <w:tr w:rsidR="00AD0B45" w:rsidRPr="003A644A" w14:paraId="4B987096" w14:textId="77777777" w:rsidTr="00EA6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CE75C1A" w14:textId="77777777" w:rsidR="00AD0B45" w:rsidRPr="003A644A" w:rsidRDefault="00AD0B45" w:rsidP="00EA6198">
            <w:pPr>
              <w:rPr>
                <w:rFonts w:asciiTheme="majorBidi" w:hAnsiTheme="majorBidi" w:cstheme="majorBidi"/>
              </w:rPr>
            </w:pPr>
            <w:r w:rsidRPr="003A644A">
              <w:rPr>
                <w:rFonts w:asciiTheme="majorBidi" w:hAnsiTheme="majorBidi" w:cstheme="majorBidi"/>
                <w:lang w:val="en-CA"/>
              </w:rPr>
              <w:t>S3</w:t>
            </w:r>
          </w:p>
          <w:p w14:paraId="42C51674" w14:textId="77777777" w:rsidR="00AD0B45" w:rsidRPr="003A644A" w:rsidRDefault="00AD0B45" w:rsidP="00EA6198">
            <w:pPr>
              <w:rPr>
                <w:rFonts w:asciiTheme="majorBidi" w:hAnsiTheme="majorBidi" w:cstheme="majorBidi"/>
              </w:rPr>
            </w:pPr>
          </w:p>
        </w:tc>
        <w:tc>
          <w:tcPr>
            <w:tcW w:w="6539" w:type="dxa"/>
          </w:tcPr>
          <w:p w14:paraId="1DFB4525" w14:textId="3CFEF9CB" w:rsidR="00AD0B45" w:rsidRPr="003A644A" w:rsidRDefault="00AD0B45" w:rsidP="00EA619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A644A">
              <w:rPr>
                <w:rFonts w:asciiTheme="majorBidi" w:hAnsiTheme="majorBidi" w:cstheme="majorBidi"/>
                <w:lang w:val="en-CA"/>
              </w:rPr>
              <w:t>Change the cost of liver disease after</w:t>
            </w:r>
            <w:r w:rsidR="001B031B">
              <w:rPr>
                <w:rFonts w:asciiTheme="majorBidi" w:hAnsiTheme="majorBidi" w:cstheme="majorBidi"/>
                <w:lang w:val="en-CA"/>
              </w:rPr>
              <w:t xml:space="preserve"> </w:t>
            </w:r>
            <w:r w:rsidRPr="003A644A">
              <w:rPr>
                <w:rFonts w:asciiTheme="majorBidi" w:hAnsiTheme="majorBidi" w:cstheme="majorBidi"/>
                <w:lang w:val="en-CA"/>
              </w:rPr>
              <w:t>SVR to zero</w:t>
            </w:r>
            <w:r w:rsidR="006F6E17">
              <w:rPr>
                <w:rFonts w:asciiTheme="majorBidi" w:hAnsiTheme="majorBidi" w:cstheme="majorBidi"/>
                <w:lang w:val="en-CA"/>
              </w:rPr>
              <w:t>.</w:t>
            </w:r>
          </w:p>
        </w:tc>
      </w:tr>
      <w:tr w:rsidR="00AD0B45" w:rsidRPr="003A644A" w14:paraId="64A3E76F" w14:textId="77777777" w:rsidTr="00EA6198">
        <w:tc>
          <w:tcPr>
            <w:cnfStyle w:val="001000000000" w:firstRow="0" w:lastRow="0" w:firstColumn="1" w:lastColumn="0" w:oddVBand="0" w:evenVBand="0" w:oddHBand="0" w:evenHBand="0" w:firstRowFirstColumn="0" w:firstRowLastColumn="0" w:lastRowFirstColumn="0" w:lastRowLastColumn="0"/>
            <w:tcW w:w="2263" w:type="dxa"/>
          </w:tcPr>
          <w:p w14:paraId="322403A8" w14:textId="77777777" w:rsidR="00AD0B45" w:rsidRPr="003A644A" w:rsidRDefault="00AD0B45" w:rsidP="00EA6198">
            <w:pPr>
              <w:rPr>
                <w:rFonts w:asciiTheme="majorBidi" w:hAnsiTheme="majorBidi" w:cstheme="majorBidi"/>
              </w:rPr>
            </w:pPr>
            <w:r w:rsidRPr="003A644A">
              <w:rPr>
                <w:rFonts w:asciiTheme="majorBidi" w:hAnsiTheme="majorBidi" w:cstheme="majorBidi"/>
                <w:lang w:val="en-CA"/>
              </w:rPr>
              <w:t>S4</w:t>
            </w:r>
          </w:p>
          <w:p w14:paraId="2AAD23B7" w14:textId="77777777" w:rsidR="00AD0B45" w:rsidRPr="003A644A" w:rsidRDefault="00AD0B45" w:rsidP="00EA6198">
            <w:pPr>
              <w:rPr>
                <w:rFonts w:asciiTheme="majorBidi" w:hAnsiTheme="majorBidi" w:cstheme="majorBidi"/>
              </w:rPr>
            </w:pPr>
          </w:p>
        </w:tc>
        <w:tc>
          <w:tcPr>
            <w:tcW w:w="6539" w:type="dxa"/>
          </w:tcPr>
          <w:p w14:paraId="4F3FFB98" w14:textId="6678EA3E" w:rsidR="00AD0B45" w:rsidRPr="003A644A" w:rsidRDefault="00AD0B45" w:rsidP="00EA619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A644A">
              <w:rPr>
                <w:rFonts w:asciiTheme="majorBidi" w:hAnsiTheme="majorBidi" w:cstheme="majorBidi"/>
                <w:lang w:val="en-CA"/>
              </w:rPr>
              <w:t>Different set of liver disease costs (based on data from France)</w:t>
            </w:r>
            <w:r w:rsidRPr="003A644A">
              <w:rPr>
                <w:rFonts w:asciiTheme="majorBidi" w:hAnsiTheme="majorBidi" w:cstheme="majorBidi"/>
                <w:lang w:val="en-CA"/>
              </w:rPr>
              <w:fldChar w:fldCharType="begin" w:fldLock="1"/>
            </w:r>
            <w:r w:rsidRPr="003A644A">
              <w:rPr>
                <w:rFonts w:asciiTheme="majorBidi" w:hAnsiTheme="majorBidi" w:cstheme="majorBidi"/>
                <w:lang w:val="en-CA"/>
              </w:rPr>
              <w:instrText>ADDIN CSL_CITATION {"citationItems":[{"id":"ITEM-1","itemData":{"author":[{"dropping-particle":"","family":"Butsashvili","given":"Maia","non-dropping-particle":"","parse-names":false,"suffix":""}],"id":"ITEM-1","issued":{"date-parts":[["0"]]},"title":"Hepatitis C Elimination Program High prevalence of HCV in Georgia","type":"article-journal"},"uris":["http://www.mendeley.com/documents/?uuid=38aecce6-351f-4ee4-8989-a7b8e445fd31"]}],"mendeley":{"formattedCitation":"&lt;sup&gt;36&lt;/sup&gt;","plainTextFormattedCitation":"36","previouslyFormattedCitation":"&lt;sup&gt;36&lt;/sup&gt;"},"properties":{"noteIndex":0},"schema":"https://github.com/citation-style-language/schema/raw/master/csl-citation.json"}</w:instrText>
            </w:r>
            <w:r w:rsidRPr="003A644A">
              <w:rPr>
                <w:rFonts w:asciiTheme="majorBidi" w:hAnsiTheme="majorBidi" w:cstheme="majorBidi"/>
                <w:lang w:val="en-CA"/>
              </w:rPr>
              <w:fldChar w:fldCharType="separate"/>
            </w:r>
            <w:r w:rsidR="00C50A67">
              <w:rPr>
                <w:rFonts w:asciiTheme="majorBidi" w:hAnsiTheme="majorBidi" w:cstheme="majorBidi"/>
                <w:noProof/>
                <w:vertAlign w:val="superscript"/>
                <w:lang w:val="en-CA"/>
              </w:rPr>
              <w:t>[4]</w:t>
            </w:r>
            <w:r w:rsidRPr="003A644A">
              <w:rPr>
                <w:rFonts w:asciiTheme="majorBidi" w:hAnsiTheme="majorBidi" w:cstheme="majorBidi"/>
                <w:lang w:val="en-CA"/>
              </w:rPr>
              <w:fldChar w:fldCharType="end"/>
            </w:r>
            <w:r w:rsidR="00C50A67" w:rsidRPr="003A644A">
              <w:rPr>
                <w:rFonts w:asciiTheme="majorBidi" w:hAnsiTheme="majorBidi" w:cstheme="majorBidi"/>
                <w:lang w:val="en-CA"/>
              </w:rPr>
              <w:t xml:space="preserve"> </w:t>
            </w:r>
            <w:r w:rsidRPr="003A644A">
              <w:rPr>
                <w:rFonts w:asciiTheme="majorBidi" w:hAnsiTheme="majorBidi" w:cstheme="majorBidi"/>
                <w:lang w:val="en-CA"/>
              </w:rPr>
              <w:t>.</w:t>
            </w:r>
          </w:p>
        </w:tc>
      </w:tr>
      <w:tr w:rsidR="00AD0B45" w:rsidRPr="003A644A" w14:paraId="38308EF1" w14:textId="77777777" w:rsidTr="00EA6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EF278C5" w14:textId="77777777" w:rsidR="00AD0B45" w:rsidRPr="003A644A" w:rsidRDefault="00AD0B45" w:rsidP="00EA6198">
            <w:pPr>
              <w:rPr>
                <w:rFonts w:asciiTheme="majorBidi" w:hAnsiTheme="majorBidi" w:cstheme="majorBidi"/>
              </w:rPr>
            </w:pPr>
            <w:r w:rsidRPr="003A644A">
              <w:rPr>
                <w:rFonts w:asciiTheme="majorBidi" w:hAnsiTheme="majorBidi" w:cstheme="majorBidi"/>
                <w:lang w:val="en-CA"/>
              </w:rPr>
              <w:t>S5</w:t>
            </w:r>
          </w:p>
          <w:p w14:paraId="3710098A" w14:textId="77777777" w:rsidR="00AD0B45" w:rsidRPr="003A644A" w:rsidRDefault="00AD0B45" w:rsidP="00EA6198">
            <w:pPr>
              <w:rPr>
                <w:rFonts w:asciiTheme="majorBidi" w:hAnsiTheme="majorBidi" w:cstheme="majorBidi"/>
              </w:rPr>
            </w:pPr>
          </w:p>
        </w:tc>
        <w:tc>
          <w:tcPr>
            <w:tcW w:w="6539" w:type="dxa"/>
          </w:tcPr>
          <w:p w14:paraId="7D4AC33A" w14:textId="77777777" w:rsidR="00AD0B45" w:rsidRPr="003A644A" w:rsidRDefault="00AD0B45" w:rsidP="00EA619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A644A">
              <w:rPr>
                <w:rFonts w:asciiTheme="majorBidi" w:hAnsiTheme="majorBidi" w:cstheme="majorBidi"/>
                <w:lang w:val="en-CA"/>
              </w:rPr>
              <w:t>Low prevalence (0.7%) among non-IDU (looking at only non-IDUs cohort).</w:t>
            </w:r>
          </w:p>
        </w:tc>
      </w:tr>
      <w:tr w:rsidR="00AD0B45" w:rsidRPr="003A644A" w14:paraId="107299B1" w14:textId="77777777" w:rsidTr="00EA6198">
        <w:tc>
          <w:tcPr>
            <w:cnfStyle w:val="001000000000" w:firstRow="0" w:lastRow="0" w:firstColumn="1" w:lastColumn="0" w:oddVBand="0" w:evenVBand="0" w:oddHBand="0" w:evenHBand="0" w:firstRowFirstColumn="0" w:firstRowLastColumn="0" w:lastRowFirstColumn="0" w:lastRowLastColumn="0"/>
            <w:tcW w:w="2263" w:type="dxa"/>
          </w:tcPr>
          <w:p w14:paraId="39E88B98" w14:textId="77777777" w:rsidR="00AD0B45" w:rsidRPr="003A644A" w:rsidRDefault="00AD0B45" w:rsidP="00EA6198">
            <w:pPr>
              <w:rPr>
                <w:rFonts w:asciiTheme="majorBidi" w:hAnsiTheme="majorBidi" w:cstheme="majorBidi"/>
              </w:rPr>
            </w:pPr>
            <w:r w:rsidRPr="003A644A">
              <w:rPr>
                <w:rFonts w:asciiTheme="majorBidi" w:hAnsiTheme="majorBidi" w:cstheme="majorBidi"/>
                <w:lang w:val="en-CA"/>
              </w:rPr>
              <w:t>S6</w:t>
            </w:r>
          </w:p>
          <w:p w14:paraId="29400A1B" w14:textId="77777777" w:rsidR="00AD0B45" w:rsidRPr="003A644A" w:rsidRDefault="00AD0B45" w:rsidP="00EA6198">
            <w:pPr>
              <w:rPr>
                <w:rFonts w:asciiTheme="majorBidi" w:hAnsiTheme="majorBidi" w:cstheme="majorBidi"/>
                <w:lang w:val="en-CA"/>
              </w:rPr>
            </w:pPr>
          </w:p>
        </w:tc>
        <w:tc>
          <w:tcPr>
            <w:tcW w:w="6539" w:type="dxa"/>
          </w:tcPr>
          <w:p w14:paraId="18D07704" w14:textId="77777777" w:rsidR="00AD0B45" w:rsidRPr="003A644A" w:rsidRDefault="00AD0B45" w:rsidP="00EA619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A644A">
              <w:rPr>
                <w:rFonts w:asciiTheme="majorBidi" w:hAnsiTheme="majorBidi" w:cstheme="majorBidi"/>
                <w:lang w:val="en-CA"/>
              </w:rPr>
              <w:t>High prevalence (94%) among IDU (looking at only IDUs cohort).</w:t>
            </w:r>
          </w:p>
        </w:tc>
      </w:tr>
      <w:tr w:rsidR="006F6E17" w:rsidRPr="003A644A" w14:paraId="58831BA7" w14:textId="77777777" w:rsidTr="00EA6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C7FFDDA" w14:textId="0A5D2DB9" w:rsidR="006F6E17" w:rsidRPr="003A644A" w:rsidRDefault="006F6E17" w:rsidP="00EA6198">
            <w:pPr>
              <w:rPr>
                <w:rFonts w:asciiTheme="majorBidi" w:hAnsiTheme="majorBidi" w:cstheme="majorBidi"/>
                <w:lang w:val="en-CA"/>
              </w:rPr>
            </w:pPr>
            <w:r>
              <w:rPr>
                <w:rFonts w:asciiTheme="majorBidi" w:hAnsiTheme="majorBidi" w:cstheme="majorBidi"/>
                <w:lang w:val="en-CA"/>
              </w:rPr>
              <w:t>S7</w:t>
            </w:r>
          </w:p>
        </w:tc>
        <w:tc>
          <w:tcPr>
            <w:tcW w:w="6539" w:type="dxa"/>
          </w:tcPr>
          <w:p w14:paraId="753A4C04" w14:textId="34C94427" w:rsidR="006F6E17" w:rsidRPr="003A644A" w:rsidRDefault="006F6E17" w:rsidP="00EA619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CA"/>
              </w:rPr>
            </w:pPr>
            <w:r>
              <w:rPr>
                <w:rFonts w:asciiTheme="majorBidi" w:hAnsiTheme="majorBidi" w:cstheme="majorBidi"/>
                <w:lang w:val="en-CA"/>
              </w:rPr>
              <w:t>The cost of treatment was reduced to $44.</w:t>
            </w:r>
          </w:p>
        </w:tc>
      </w:tr>
    </w:tbl>
    <w:p w14:paraId="177EC87C" w14:textId="55ADA55D" w:rsidR="00AD0B45" w:rsidRPr="003A644A" w:rsidRDefault="00AD0B45" w:rsidP="00AD0B45">
      <w:pPr>
        <w:rPr>
          <w:rFonts w:asciiTheme="majorBidi" w:hAnsiTheme="majorBidi" w:cstheme="majorBidi"/>
        </w:rPr>
      </w:pPr>
      <w:r w:rsidRPr="003A644A">
        <w:rPr>
          <w:rFonts w:asciiTheme="majorBidi" w:hAnsiTheme="majorBidi" w:cstheme="majorBidi"/>
        </w:rPr>
        <w:t>IDU</w:t>
      </w:r>
      <w:r w:rsidR="003D5969">
        <w:rPr>
          <w:rFonts w:asciiTheme="majorBidi" w:hAnsiTheme="majorBidi" w:cstheme="majorBidi"/>
        </w:rPr>
        <w:t xml:space="preserve"> =</w:t>
      </w:r>
      <w:r w:rsidRPr="003A644A">
        <w:rPr>
          <w:rFonts w:asciiTheme="majorBidi" w:hAnsiTheme="majorBidi" w:cstheme="majorBidi"/>
        </w:rPr>
        <w:t xml:space="preserve"> </w:t>
      </w:r>
      <w:r w:rsidRPr="003A644A">
        <w:rPr>
          <w:rFonts w:asciiTheme="majorBidi" w:hAnsiTheme="majorBidi" w:cstheme="majorBidi"/>
          <w:w w:val="99"/>
        </w:rPr>
        <w:t>Intravenous</w:t>
      </w:r>
      <w:r w:rsidRPr="003A644A">
        <w:rPr>
          <w:rFonts w:asciiTheme="majorBidi" w:hAnsiTheme="majorBidi" w:cstheme="majorBidi"/>
        </w:rPr>
        <w:t xml:space="preserve"> </w:t>
      </w:r>
      <w:r w:rsidRPr="003A644A">
        <w:rPr>
          <w:rFonts w:asciiTheme="majorBidi" w:hAnsiTheme="majorBidi" w:cstheme="majorBidi"/>
          <w:w w:val="99"/>
        </w:rPr>
        <w:t>Drug</w:t>
      </w:r>
      <w:r w:rsidRPr="003A644A">
        <w:rPr>
          <w:rFonts w:asciiTheme="majorBidi" w:hAnsiTheme="majorBidi" w:cstheme="majorBidi"/>
        </w:rPr>
        <w:t xml:space="preserve"> </w:t>
      </w:r>
      <w:r w:rsidRPr="003A644A">
        <w:rPr>
          <w:rFonts w:asciiTheme="majorBidi" w:hAnsiTheme="majorBidi" w:cstheme="majorBidi"/>
          <w:w w:val="99"/>
        </w:rPr>
        <w:t>Users</w:t>
      </w:r>
    </w:p>
    <w:p w14:paraId="75DE04D3" w14:textId="77777777" w:rsidR="00AD0B45" w:rsidRPr="003A644A" w:rsidRDefault="00AD0B45" w:rsidP="00AD0B45">
      <w:pPr>
        <w:pStyle w:val="Caption"/>
        <w:keepNext/>
        <w:spacing w:line="480" w:lineRule="auto"/>
        <w:rPr>
          <w:rFonts w:asciiTheme="majorBidi" w:hAnsiTheme="majorBidi" w:cstheme="majorBidi"/>
          <w:b/>
          <w:i w:val="0"/>
          <w:color w:val="auto"/>
          <w:sz w:val="20"/>
          <w:szCs w:val="20"/>
        </w:rPr>
      </w:pPr>
    </w:p>
    <w:p w14:paraId="616C134D" w14:textId="5D7020D1" w:rsidR="00AD0B45" w:rsidRPr="003A644A" w:rsidRDefault="00AD0B45" w:rsidP="00E85287">
      <w:pPr>
        <w:pStyle w:val="Heading1"/>
        <w:jc w:val="both"/>
        <w:rPr>
          <w:rFonts w:asciiTheme="majorBidi" w:hAnsiTheme="majorBidi"/>
          <w:b/>
          <w:color w:val="000000" w:themeColor="text1"/>
          <w:sz w:val="20"/>
          <w:szCs w:val="20"/>
        </w:rPr>
      </w:pPr>
      <w:bookmarkStart w:id="2" w:name="_Toc26552228"/>
      <w:r w:rsidRPr="003A644A">
        <w:rPr>
          <w:rFonts w:asciiTheme="majorBidi" w:hAnsiTheme="majorBidi"/>
          <w:b/>
          <w:color w:val="000000" w:themeColor="text1"/>
          <w:sz w:val="20"/>
          <w:szCs w:val="20"/>
        </w:rPr>
        <w:t>Supplementary Fig</w:t>
      </w:r>
      <w:r w:rsidR="00A00A8F" w:rsidRPr="003A644A">
        <w:rPr>
          <w:rFonts w:asciiTheme="majorBidi" w:hAnsiTheme="majorBidi"/>
          <w:b/>
          <w:color w:val="000000" w:themeColor="text1"/>
          <w:sz w:val="20"/>
          <w:szCs w:val="20"/>
        </w:rPr>
        <w:t>.</w:t>
      </w:r>
      <w:r w:rsidRPr="003A644A">
        <w:rPr>
          <w:rFonts w:asciiTheme="majorBidi" w:hAnsiTheme="majorBidi"/>
          <w:b/>
          <w:color w:val="000000" w:themeColor="text1"/>
          <w:sz w:val="20"/>
          <w:szCs w:val="20"/>
        </w:rPr>
        <w:t xml:space="preserve"> 1. Distribution of HCV viral load in the simulated cohort. </w:t>
      </w:r>
      <w:r w:rsidRPr="003A644A">
        <w:rPr>
          <w:rFonts w:asciiTheme="majorBidi" w:hAnsiTheme="majorBidi"/>
          <w:bCs/>
          <w:iCs/>
          <w:color w:val="000000" w:themeColor="text1"/>
          <w:sz w:val="20"/>
          <w:szCs w:val="20"/>
        </w:rPr>
        <w:t>The y-axis shows the percentage of the simulated individuals for each HCV viral load level.</w:t>
      </w:r>
      <w:bookmarkEnd w:id="2"/>
    </w:p>
    <w:p w14:paraId="0A2D6C88" w14:textId="77777777" w:rsidR="00AD0B45" w:rsidRPr="003A644A" w:rsidRDefault="00AD0B45" w:rsidP="00AD0B45">
      <w:pPr>
        <w:spacing w:line="480" w:lineRule="auto"/>
        <w:rPr>
          <w:rFonts w:asciiTheme="majorBidi" w:hAnsiTheme="majorBidi" w:cstheme="majorBidi"/>
        </w:rPr>
      </w:pPr>
    </w:p>
    <w:p w14:paraId="0BA9650B" w14:textId="77777777" w:rsidR="00AD0B45" w:rsidRPr="003A644A" w:rsidRDefault="00AD0B45" w:rsidP="00AD0B45">
      <w:pPr>
        <w:spacing w:line="480" w:lineRule="auto"/>
        <w:jc w:val="center"/>
        <w:rPr>
          <w:rFonts w:asciiTheme="majorBidi" w:hAnsiTheme="majorBidi" w:cstheme="majorBidi"/>
        </w:rPr>
      </w:pPr>
      <w:r w:rsidRPr="003A644A">
        <w:rPr>
          <w:rFonts w:asciiTheme="majorBidi" w:hAnsiTheme="majorBidi" w:cstheme="majorBidi"/>
          <w:noProof/>
          <w:lang w:val="en-GB" w:eastAsia="en-GB"/>
        </w:rPr>
        <w:drawing>
          <wp:inline distT="0" distB="0" distL="0" distR="0" wp14:anchorId="2488B07E" wp14:editId="2AE788B3">
            <wp:extent cx="2952750" cy="327769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Viral_load_wholecohort.png"/>
                    <pic:cNvPicPr/>
                  </pic:nvPicPr>
                  <pic:blipFill>
                    <a:blip r:embed="rId7">
                      <a:extLst>
                        <a:ext uri="{28A0092B-C50C-407E-A947-70E740481C1C}">
                          <a14:useLocalDpi xmlns:a14="http://schemas.microsoft.com/office/drawing/2010/main" val="0"/>
                        </a:ext>
                      </a:extLst>
                    </a:blip>
                    <a:stretch>
                      <a:fillRect/>
                    </a:stretch>
                  </pic:blipFill>
                  <pic:spPr>
                    <a:xfrm>
                      <a:off x="0" y="0"/>
                      <a:ext cx="2974523" cy="3301861"/>
                    </a:xfrm>
                    <a:prstGeom prst="rect">
                      <a:avLst/>
                    </a:prstGeom>
                  </pic:spPr>
                </pic:pic>
              </a:graphicData>
            </a:graphic>
          </wp:inline>
        </w:drawing>
      </w:r>
    </w:p>
    <w:p w14:paraId="7C95FCFB" w14:textId="77777777" w:rsidR="00AD0B45" w:rsidRPr="003A644A" w:rsidRDefault="00AD0B45" w:rsidP="00AD0B45">
      <w:pPr>
        <w:rPr>
          <w:rFonts w:asciiTheme="majorBidi" w:hAnsiTheme="majorBidi" w:cstheme="majorBidi"/>
        </w:rPr>
      </w:pPr>
    </w:p>
    <w:p w14:paraId="04A6D89F" w14:textId="77777777" w:rsidR="004F6284" w:rsidRPr="003A644A" w:rsidRDefault="004F6284" w:rsidP="008B5460">
      <w:pPr>
        <w:pStyle w:val="Caption"/>
        <w:outlineLvl w:val="0"/>
        <w:rPr>
          <w:rFonts w:asciiTheme="majorBidi" w:hAnsiTheme="majorBidi" w:cstheme="majorBidi"/>
          <w:b/>
          <w:i w:val="0"/>
          <w:color w:val="auto"/>
          <w:sz w:val="20"/>
          <w:szCs w:val="20"/>
        </w:rPr>
      </w:pPr>
      <w:bookmarkStart w:id="3" w:name="_Toc26552229"/>
    </w:p>
    <w:p w14:paraId="21172CE9" w14:textId="2982FF77" w:rsidR="00AD0B45" w:rsidRPr="003A644A" w:rsidRDefault="00AD0B45" w:rsidP="00E85287">
      <w:pPr>
        <w:pStyle w:val="Caption"/>
        <w:jc w:val="both"/>
        <w:outlineLvl w:val="0"/>
        <w:rPr>
          <w:rFonts w:asciiTheme="majorBidi" w:hAnsiTheme="majorBidi" w:cstheme="majorBidi"/>
          <w:i w:val="0"/>
          <w:color w:val="auto"/>
          <w:sz w:val="20"/>
          <w:szCs w:val="20"/>
        </w:rPr>
      </w:pPr>
      <w:r w:rsidRPr="003A644A">
        <w:rPr>
          <w:rFonts w:asciiTheme="majorBidi" w:hAnsiTheme="majorBidi" w:cstheme="majorBidi"/>
          <w:b/>
          <w:i w:val="0"/>
          <w:color w:val="auto"/>
          <w:sz w:val="20"/>
          <w:szCs w:val="20"/>
        </w:rPr>
        <w:t>Supplementary Fig</w:t>
      </w:r>
      <w:r w:rsidR="00A00A8F" w:rsidRPr="003A644A">
        <w:rPr>
          <w:rFonts w:asciiTheme="majorBidi" w:hAnsiTheme="majorBidi" w:cstheme="majorBidi"/>
          <w:b/>
          <w:i w:val="0"/>
          <w:color w:val="auto"/>
          <w:sz w:val="20"/>
          <w:szCs w:val="20"/>
        </w:rPr>
        <w:t>.</w:t>
      </w:r>
      <w:r w:rsidRPr="003A644A">
        <w:rPr>
          <w:rFonts w:asciiTheme="majorBidi" w:hAnsiTheme="majorBidi" w:cstheme="majorBidi"/>
          <w:b/>
          <w:i w:val="0"/>
          <w:color w:val="auto"/>
          <w:sz w:val="20"/>
          <w:szCs w:val="20"/>
        </w:rPr>
        <w:t xml:space="preserve"> 2. Distribution of age and year of HCV infection in the simulated cohort. </w:t>
      </w:r>
      <w:r w:rsidRPr="003A644A">
        <w:rPr>
          <w:rFonts w:asciiTheme="majorBidi" w:hAnsiTheme="majorBidi" w:cstheme="majorBidi"/>
          <w:i w:val="0"/>
          <w:color w:val="auto"/>
          <w:sz w:val="20"/>
          <w:szCs w:val="20"/>
        </w:rPr>
        <w:t xml:space="preserve"> The total area shows the percentage of the simulated cohort (patients who were viremic and alive between 2015 and 2018) infected each year, and the colors the distribution of age at time of infection. This distribution was determined to obtain the distribution of age at diagnosis based on a study of </w:t>
      </w:r>
      <w:proofErr w:type="spellStart"/>
      <w:r w:rsidRPr="003A644A">
        <w:rPr>
          <w:rFonts w:asciiTheme="majorBidi" w:hAnsiTheme="majorBidi" w:cstheme="majorBidi"/>
          <w:i w:val="0"/>
          <w:color w:val="auto"/>
          <w:sz w:val="20"/>
          <w:szCs w:val="20"/>
        </w:rPr>
        <w:t>Turdziladze</w:t>
      </w:r>
      <w:proofErr w:type="spellEnd"/>
      <w:r w:rsidRPr="003A644A">
        <w:rPr>
          <w:rFonts w:asciiTheme="majorBidi" w:hAnsiTheme="majorBidi" w:cstheme="majorBidi"/>
          <w:i w:val="0"/>
          <w:color w:val="auto"/>
          <w:sz w:val="20"/>
          <w:szCs w:val="20"/>
        </w:rPr>
        <w:t xml:space="preserve"> et al.</w:t>
      </w:r>
      <w:bookmarkEnd w:id="3"/>
      <w:r w:rsidR="004418C7" w:rsidRPr="003A644A">
        <w:rPr>
          <w:rFonts w:asciiTheme="majorBidi" w:hAnsiTheme="majorBidi" w:cstheme="majorBidi"/>
          <w:i w:val="0"/>
          <w:color w:val="auto"/>
          <w:sz w:val="20"/>
          <w:szCs w:val="20"/>
        </w:rPr>
        <w:t xml:space="preserve"> [3]</w:t>
      </w:r>
      <w:r w:rsidR="00F0461D" w:rsidRPr="003A644A">
        <w:rPr>
          <w:rFonts w:asciiTheme="majorBidi" w:hAnsiTheme="majorBidi" w:cstheme="majorBidi"/>
          <w:i w:val="0"/>
          <w:color w:val="auto"/>
          <w:sz w:val="20"/>
          <w:szCs w:val="20"/>
        </w:rPr>
        <w:t>.</w:t>
      </w:r>
      <w:r w:rsidR="004418C7" w:rsidRPr="003A644A">
        <w:rPr>
          <w:rFonts w:asciiTheme="majorBidi" w:hAnsiTheme="majorBidi" w:cstheme="majorBidi"/>
          <w:i w:val="0"/>
          <w:color w:val="auto"/>
          <w:sz w:val="20"/>
          <w:szCs w:val="20"/>
        </w:rPr>
        <w:t xml:space="preserve"> </w:t>
      </w:r>
    </w:p>
    <w:p w14:paraId="1122A6B6" w14:textId="77777777" w:rsidR="00AD0B45" w:rsidRPr="003A644A" w:rsidRDefault="00AD0B45" w:rsidP="00AD0B45">
      <w:pPr>
        <w:jc w:val="center"/>
        <w:rPr>
          <w:rFonts w:asciiTheme="majorBidi" w:hAnsiTheme="majorBidi" w:cstheme="majorBidi"/>
        </w:rPr>
      </w:pPr>
      <w:r w:rsidRPr="003A644A">
        <w:rPr>
          <w:rFonts w:asciiTheme="majorBidi" w:hAnsiTheme="majorBidi" w:cstheme="majorBidi"/>
          <w:noProof/>
          <w:lang w:val="en-GB" w:eastAsia="en-GB"/>
        </w:rPr>
        <w:drawing>
          <wp:inline distT="0" distB="0" distL="0" distR="0" wp14:anchorId="0F73F3FA" wp14:editId="6E637318">
            <wp:extent cx="5595620" cy="33223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ge_distribution.png"/>
                    <pic:cNvPicPr/>
                  </pic:nvPicPr>
                  <pic:blipFill>
                    <a:blip r:embed="rId8">
                      <a:extLst>
                        <a:ext uri="{28A0092B-C50C-407E-A947-70E740481C1C}">
                          <a14:useLocalDpi xmlns:a14="http://schemas.microsoft.com/office/drawing/2010/main" val="0"/>
                        </a:ext>
                      </a:extLst>
                    </a:blip>
                    <a:stretch>
                      <a:fillRect/>
                    </a:stretch>
                  </pic:blipFill>
                  <pic:spPr>
                    <a:xfrm>
                      <a:off x="0" y="0"/>
                      <a:ext cx="5595620" cy="3322320"/>
                    </a:xfrm>
                    <a:prstGeom prst="rect">
                      <a:avLst/>
                    </a:prstGeom>
                  </pic:spPr>
                </pic:pic>
              </a:graphicData>
            </a:graphic>
          </wp:inline>
        </w:drawing>
      </w:r>
    </w:p>
    <w:p w14:paraId="79625334" w14:textId="77777777" w:rsidR="00AD0B45" w:rsidRPr="003A644A" w:rsidRDefault="00AD0B45" w:rsidP="00AD0B45">
      <w:pPr>
        <w:rPr>
          <w:rFonts w:asciiTheme="majorBidi" w:hAnsiTheme="majorBidi" w:cstheme="majorBidi"/>
        </w:rPr>
      </w:pPr>
    </w:p>
    <w:p w14:paraId="4C1EEFD8" w14:textId="77777777" w:rsidR="00AD0B45" w:rsidRPr="003A644A" w:rsidRDefault="00AD0B45" w:rsidP="00AD0B45">
      <w:pPr>
        <w:spacing w:line="480" w:lineRule="auto"/>
        <w:rPr>
          <w:rFonts w:asciiTheme="majorBidi" w:hAnsiTheme="majorBidi" w:cstheme="majorBidi"/>
          <w:b/>
        </w:rPr>
      </w:pPr>
    </w:p>
    <w:p w14:paraId="59E41858" w14:textId="7F391DAC" w:rsidR="00AD0B45" w:rsidRPr="003A644A" w:rsidRDefault="00AD0B45" w:rsidP="00AD0B45">
      <w:pPr>
        <w:spacing w:line="480" w:lineRule="auto"/>
        <w:rPr>
          <w:rFonts w:asciiTheme="majorBidi" w:hAnsiTheme="majorBidi" w:cstheme="majorBidi"/>
          <w:b/>
          <w:lang w:bidi="fa-IR"/>
        </w:rPr>
      </w:pPr>
    </w:p>
    <w:p w14:paraId="4D344499" w14:textId="693877D3" w:rsidR="00B561B1" w:rsidRPr="003A644A" w:rsidRDefault="00B561B1" w:rsidP="00AD0B45">
      <w:pPr>
        <w:spacing w:line="480" w:lineRule="auto"/>
        <w:rPr>
          <w:rFonts w:asciiTheme="majorBidi" w:hAnsiTheme="majorBidi" w:cstheme="majorBidi"/>
          <w:b/>
          <w:lang w:bidi="fa-IR"/>
        </w:rPr>
      </w:pPr>
    </w:p>
    <w:p w14:paraId="3659B61D" w14:textId="77777777" w:rsidR="00B561B1" w:rsidRPr="003A644A" w:rsidRDefault="00B561B1" w:rsidP="00AD0B45">
      <w:pPr>
        <w:spacing w:line="480" w:lineRule="auto"/>
        <w:rPr>
          <w:rFonts w:asciiTheme="majorBidi" w:hAnsiTheme="majorBidi" w:cstheme="majorBidi"/>
          <w:b/>
          <w:lang w:bidi="fa-IR"/>
        </w:rPr>
      </w:pPr>
    </w:p>
    <w:p w14:paraId="1E86D0DF" w14:textId="14A3B28E" w:rsidR="00AD0B45" w:rsidRPr="003A644A" w:rsidRDefault="00AD0B45" w:rsidP="00AD0B45">
      <w:pPr>
        <w:rPr>
          <w:rFonts w:asciiTheme="majorBidi" w:hAnsiTheme="majorBidi" w:cstheme="majorBidi"/>
        </w:rPr>
      </w:pPr>
    </w:p>
    <w:p w14:paraId="67059F71" w14:textId="5DC2922F" w:rsidR="00F0461D" w:rsidRPr="003A644A" w:rsidRDefault="00F0461D" w:rsidP="00AD0B45">
      <w:pPr>
        <w:rPr>
          <w:rFonts w:asciiTheme="majorBidi" w:hAnsiTheme="majorBidi" w:cstheme="majorBidi"/>
        </w:rPr>
      </w:pPr>
    </w:p>
    <w:p w14:paraId="0C6EF0A4" w14:textId="171275B5" w:rsidR="00F0461D" w:rsidRPr="003A644A" w:rsidRDefault="00F0461D" w:rsidP="00AD0B45">
      <w:pPr>
        <w:rPr>
          <w:rFonts w:asciiTheme="majorBidi" w:hAnsiTheme="majorBidi" w:cstheme="majorBidi"/>
        </w:rPr>
      </w:pPr>
    </w:p>
    <w:p w14:paraId="3A3A6816" w14:textId="4468EE30" w:rsidR="00F0461D" w:rsidRPr="003A644A" w:rsidRDefault="00F0461D" w:rsidP="00AD0B45">
      <w:pPr>
        <w:rPr>
          <w:rFonts w:asciiTheme="majorBidi" w:hAnsiTheme="majorBidi" w:cstheme="majorBidi"/>
        </w:rPr>
      </w:pPr>
    </w:p>
    <w:p w14:paraId="08868793" w14:textId="2C0BC79A" w:rsidR="00E85287" w:rsidRPr="003A644A" w:rsidRDefault="00E85287" w:rsidP="00AD0B45">
      <w:pPr>
        <w:rPr>
          <w:rFonts w:asciiTheme="majorBidi" w:hAnsiTheme="majorBidi" w:cstheme="majorBidi"/>
        </w:rPr>
      </w:pPr>
    </w:p>
    <w:p w14:paraId="5AF5376F" w14:textId="0C5C8B06" w:rsidR="00E85287" w:rsidRPr="003A644A" w:rsidRDefault="00E85287" w:rsidP="00AD0B45">
      <w:pPr>
        <w:rPr>
          <w:rFonts w:asciiTheme="majorBidi" w:hAnsiTheme="majorBidi" w:cstheme="majorBidi"/>
        </w:rPr>
      </w:pPr>
    </w:p>
    <w:p w14:paraId="554E15A8" w14:textId="2FA1BBE1" w:rsidR="00E85287" w:rsidRPr="003A644A" w:rsidRDefault="00E85287" w:rsidP="00AD0B45">
      <w:pPr>
        <w:rPr>
          <w:rFonts w:asciiTheme="majorBidi" w:hAnsiTheme="majorBidi" w:cstheme="majorBidi"/>
        </w:rPr>
      </w:pPr>
    </w:p>
    <w:p w14:paraId="6AB16527" w14:textId="77777777" w:rsidR="00E85287" w:rsidRPr="003A644A" w:rsidRDefault="00E85287" w:rsidP="00AD0B45">
      <w:pPr>
        <w:rPr>
          <w:rFonts w:asciiTheme="majorBidi" w:hAnsiTheme="majorBidi" w:cstheme="majorBidi"/>
        </w:rPr>
      </w:pPr>
    </w:p>
    <w:p w14:paraId="3507B9E1" w14:textId="77777777" w:rsidR="00AD0B45" w:rsidRPr="003A644A" w:rsidRDefault="00AD0B45" w:rsidP="00AD0B45">
      <w:pPr>
        <w:rPr>
          <w:rFonts w:asciiTheme="majorBidi" w:hAnsiTheme="majorBidi" w:cstheme="majorBidi"/>
        </w:rPr>
      </w:pPr>
      <w:r w:rsidRPr="003A644A">
        <w:rPr>
          <w:rFonts w:asciiTheme="majorBidi" w:hAnsiTheme="majorBidi" w:cstheme="majorBidi"/>
        </w:rPr>
        <w:t xml:space="preserve">                                                                  </w:t>
      </w:r>
    </w:p>
    <w:p w14:paraId="0472AF6E" w14:textId="77777777" w:rsidR="00AD0B45" w:rsidRPr="003A644A" w:rsidRDefault="00AD0B45" w:rsidP="00AD0B45">
      <w:pPr>
        <w:rPr>
          <w:rFonts w:asciiTheme="majorBidi" w:hAnsiTheme="majorBidi" w:cstheme="majorBidi"/>
        </w:rPr>
      </w:pPr>
    </w:p>
    <w:p w14:paraId="3EC0B566" w14:textId="334B0D50" w:rsidR="00AD0B45" w:rsidRPr="003A644A" w:rsidRDefault="00AD0B45" w:rsidP="00E85287">
      <w:pPr>
        <w:pStyle w:val="Caption"/>
        <w:keepNext/>
        <w:jc w:val="both"/>
        <w:outlineLvl w:val="0"/>
        <w:rPr>
          <w:rFonts w:asciiTheme="majorBidi" w:hAnsiTheme="majorBidi" w:cstheme="majorBidi"/>
          <w:i w:val="0"/>
          <w:color w:val="000000" w:themeColor="text1"/>
          <w:sz w:val="20"/>
          <w:szCs w:val="20"/>
        </w:rPr>
      </w:pPr>
      <w:bookmarkStart w:id="4" w:name="_Toc26552230"/>
      <w:r w:rsidRPr="003A644A">
        <w:rPr>
          <w:rFonts w:asciiTheme="majorBidi" w:hAnsiTheme="majorBidi" w:cstheme="majorBidi"/>
          <w:b/>
          <w:i w:val="0"/>
          <w:color w:val="auto"/>
          <w:sz w:val="20"/>
          <w:szCs w:val="20"/>
        </w:rPr>
        <w:lastRenderedPageBreak/>
        <w:t>Supplementary Fig</w:t>
      </w:r>
      <w:r w:rsidR="00A00A8F" w:rsidRPr="003A644A">
        <w:rPr>
          <w:rFonts w:asciiTheme="majorBidi" w:hAnsiTheme="majorBidi" w:cstheme="majorBidi"/>
          <w:b/>
          <w:i w:val="0"/>
          <w:color w:val="auto"/>
          <w:sz w:val="20"/>
          <w:szCs w:val="20"/>
        </w:rPr>
        <w:t>.</w:t>
      </w:r>
      <w:r w:rsidRPr="003A644A">
        <w:rPr>
          <w:rFonts w:asciiTheme="majorBidi" w:hAnsiTheme="majorBidi" w:cstheme="majorBidi"/>
          <w:b/>
          <w:i w:val="0"/>
          <w:color w:val="auto"/>
          <w:sz w:val="20"/>
          <w:szCs w:val="20"/>
        </w:rPr>
        <w:t xml:space="preserve"> 3. Sensitivity analyses of laboratory test costs (S1): Cost of PCR test was decreased by 20%.  </w:t>
      </w:r>
      <w:proofErr w:type="spellStart"/>
      <w:r w:rsidRPr="003A644A">
        <w:rPr>
          <w:rFonts w:asciiTheme="majorBidi" w:hAnsiTheme="majorBidi" w:cstheme="majorBidi"/>
          <w:i w:val="0"/>
          <w:color w:val="auto"/>
          <w:sz w:val="20"/>
          <w:szCs w:val="20"/>
        </w:rPr>
        <w:t>Antibody→PCR</w:t>
      </w:r>
      <w:proofErr w:type="spellEnd"/>
      <w:r w:rsidRPr="003A644A">
        <w:rPr>
          <w:rFonts w:asciiTheme="majorBidi" w:hAnsiTheme="majorBidi" w:cstheme="majorBidi"/>
          <w:i w:val="0"/>
          <w:color w:val="auto"/>
          <w:sz w:val="20"/>
          <w:szCs w:val="20"/>
        </w:rPr>
        <w:t xml:space="preserve">, </w:t>
      </w:r>
      <w:r w:rsidRPr="003A644A">
        <w:rPr>
          <w:rFonts w:asciiTheme="majorBidi" w:hAnsiTheme="majorBidi" w:cstheme="majorBidi"/>
          <w:i w:val="0"/>
          <w:color w:val="000000" w:themeColor="text1"/>
          <w:sz w:val="20"/>
          <w:szCs w:val="20"/>
        </w:rPr>
        <w:t>antibody test followed</w:t>
      </w:r>
      <w:r w:rsidR="00F0461D" w:rsidRPr="003A644A">
        <w:rPr>
          <w:rFonts w:asciiTheme="majorBidi" w:hAnsiTheme="majorBidi" w:cstheme="majorBidi"/>
          <w:i w:val="0"/>
          <w:color w:val="000000" w:themeColor="text1"/>
          <w:sz w:val="20"/>
          <w:szCs w:val="20"/>
        </w:rPr>
        <w:t xml:space="preserve"> by PCR, </w:t>
      </w:r>
      <w:proofErr w:type="spellStart"/>
      <w:r w:rsidR="00F0461D" w:rsidRPr="003A644A">
        <w:rPr>
          <w:rFonts w:asciiTheme="majorBidi" w:hAnsiTheme="majorBidi" w:cstheme="majorBidi"/>
          <w:i w:val="0"/>
          <w:color w:val="000000" w:themeColor="text1"/>
          <w:sz w:val="20"/>
          <w:szCs w:val="20"/>
        </w:rPr>
        <w:t>Antibody→Antigen</w:t>
      </w:r>
      <w:proofErr w:type="spellEnd"/>
      <w:r w:rsidR="00F0461D" w:rsidRPr="003A644A">
        <w:rPr>
          <w:rFonts w:asciiTheme="majorBidi" w:hAnsiTheme="majorBidi" w:cstheme="majorBidi"/>
          <w:i w:val="0"/>
          <w:color w:val="000000" w:themeColor="text1"/>
          <w:sz w:val="20"/>
          <w:szCs w:val="20"/>
        </w:rPr>
        <w:t xml:space="preserve">: antibody test followed by antigen test. AB: antibody; AG: antigen. </w:t>
      </w:r>
      <w:bookmarkEnd w:id="4"/>
    </w:p>
    <w:p w14:paraId="23677AC0" w14:textId="79F6E92D" w:rsidR="00E85287" w:rsidRPr="003A644A" w:rsidRDefault="00041FF9" w:rsidP="00E85287">
      <w:pPr>
        <w:jc w:val="center"/>
        <w:rPr>
          <w:rFonts w:asciiTheme="majorBidi" w:hAnsiTheme="majorBidi" w:cstheme="majorBidi"/>
          <w:b/>
        </w:rPr>
      </w:pPr>
      <w:bookmarkStart w:id="5" w:name="_Toc26552231"/>
      <w:r>
        <w:rPr>
          <w:rFonts w:asciiTheme="majorBidi" w:hAnsiTheme="majorBidi" w:cstheme="majorBidi"/>
          <w:b/>
          <w:noProof/>
        </w:rPr>
        <w:drawing>
          <wp:inline distT="0" distB="0" distL="0" distR="0" wp14:anchorId="74BF5CA2" wp14:editId="22F4E577">
            <wp:extent cx="4142803" cy="693589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1.png"/>
                    <pic:cNvPicPr/>
                  </pic:nvPicPr>
                  <pic:blipFill>
                    <a:blip r:embed="rId9">
                      <a:extLst>
                        <a:ext uri="{28A0092B-C50C-407E-A947-70E740481C1C}">
                          <a14:useLocalDpi xmlns:a14="http://schemas.microsoft.com/office/drawing/2010/main" val="0"/>
                        </a:ext>
                      </a:extLst>
                    </a:blip>
                    <a:stretch>
                      <a:fillRect/>
                    </a:stretch>
                  </pic:blipFill>
                  <pic:spPr>
                    <a:xfrm>
                      <a:off x="0" y="0"/>
                      <a:ext cx="4151860" cy="6951057"/>
                    </a:xfrm>
                    <a:prstGeom prst="rect">
                      <a:avLst/>
                    </a:prstGeom>
                  </pic:spPr>
                </pic:pic>
              </a:graphicData>
            </a:graphic>
          </wp:inline>
        </w:drawing>
      </w:r>
    </w:p>
    <w:p w14:paraId="56B7E89A" w14:textId="77777777" w:rsidR="000918BE" w:rsidRDefault="000918BE" w:rsidP="00E85287">
      <w:pPr>
        <w:jc w:val="both"/>
        <w:rPr>
          <w:rFonts w:asciiTheme="majorBidi" w:hAnsiTheme="majorBidi" w:cstheme="majorBidi"/>
          <w:b/>
        </w:rPr>
      </w:pPr>
    </w:p>
    <w:p w14:paraId="3B9F1598" w14:textId="614A9239" w:rsidR="00E85287" w:rsidRPr="003A644A" w:rsidRDefault="00E85287" w:rsidP="00E85287">
      <w:pPr>
        <w:jc w:val="both"/>
        <w:rPr>
          <w:rFonts w:asciiTheme="majorBidi" w:hAnsiTheme="majorBidi" w:cstheme="majorBidi"/>
        </w:rPr>
      </w:pPr>
      <w:r w:rsidRPr="003A644A">
        <w:rPr>
          <w:rFonts w:asciiTheme="majorBidi" w:hAnsiTheme="majorBidi" w:cstheme="majorBidi"/>
          <w:b/>
        </w:rPr>
        <w:lastRenderedPageBreak/>
        <w:t xml:space="preserve">Supplementary Fig. 4. Sensitivity analyses of laboratory test costs (S2): Cost </w:t>
      </w:r>
      <w:proofErr w:type="gramStart"/>
      <w:r w:rsidRPr="003A644A">
        <w:rPr>
          <w:rFonts w:asciiTheme="majorBidi" w:hAnsiTheme="majorBidi" w:cstheme="majorBidi"/>
          <w:b/>
        </w:rPr>
        <w:t xml:space="preserve">of </w:t>
      </w:r>
      <w:r w:rsidR="00C525D7">
        <w:rPr>
          <w:rFonts w:asciiTheme="majorBidi" w:hAnsiTheme="majorBidi" w:cstheme="majorBidi"/>
          <w:b/>
        </w:rPr>
        <w:t xml:space="preserve"> HCV</w:t>
      </w:r>
      <w:proofErr w:type="gramEnd"/>
      <w:r w:rsidR="00C525D7">
        <w:rPr>
          <w:rFonts w:asciiTheme="majorBidi" w:hAnsiTheme="majorBidi" w:cstheme="majorBidi"/>
          <w:b/>
        </w:rPr>
        <w:t xml:space="preserve"> </w:t>
      </w:r>
      <w:r w:rsidRPr="003A644A">
        <w:rPr>
          <w:rFonts w:asciiTheme="majorBidi" w:hAnsiTheme="majorBidi" w:cstheme="majorBidi"/>
          <w:b/>
        </w:rPr>
        <w:t xml:space="preserve">antigen test decreased by 30%. </w:t>
      </w:r>
      <w:proofErr w:type="spellStart"/>
      <w:r w:rsidRPr="003A644A">
        <w:rPr>
          <w:rFonts w:asciiTheme="majorBidi" w:hAnsiTheme="majorBidi" w:cstheme="majorBidi"/>
        </w:rPr>
        <w:t>Antibody→PCR</w:t>
      </w:r>
      <w:proofErr w:type="spellEnd"/>
      <w:r w:rsidRPr="003A644A">
        <w:rPr>
          <w:rFonts w:asciiTheme="majorBidi" w:hAnsiTheme="majorBidi" w:cstheme="majorBidi"/>
        </w:rPr>
        <w:t xml:space="preserve">, </w:t>
      </w:r>
      <w:r w:rsidRPr="003A644A">
        <w:rPr>
          <w:rFonts w:asciiTheme="majorBidi" w:hAnsiTheme="majorBidi" w:cstheme="majorBidi"/>
          <w:color w:val="000000" w:themeColor="text1"/>
        </w:rPr>
        <w:t xml:space="preserve">antibody test followed by PCR, </w:t>
      </w:r>
      <w:proofErr w:type="spellStart"/>
      <w:r w:rsidRPr="003A644A">
        <w:rPr>
          <w:rFonts w:asciiTheme="majorBidi" w:hAnsiTheme="majorBidi" w:cstheme="majorBidi"/>
          <w:color w:val="000000" w:themeColor="text1"/>
        </w:rPr>
        <w:t>Antibody→Antigen</w:t>
      </w:r>
      <w:proofErr w:type="spellEnd"/>
      <w:r w:rsidRPr="003A644A">
        <w:rPr>
          <w:rFonts w:asciiTheme="majorBidi" w:hAnsiTheme="majorBidi" w:cstheme="majorBidi"/>
          <w:color w:val="000000" w:themeColor="text1"/>
        </w:rPr>
        <w:t>: antibody test followed by antigen test.</w:t>
      </w:r>
      <w:r w:rsidRPr="003A644A">
        <w:rPr>
          <w:rFonts w:asciiTheme="majorBidi" w:hAnsiTheme="majorBidi" w:cstheme="majorBidi"/>
          <w:i/>
          <w:color w:val="000000" w:themeColor="text1"/>
        </w:rPr>
        <w:t xml:space="preserve"> AB: antibody; AG: antigen.</w:t>
      </w:r>
    </w:p>
    <w:p w14:paraId="52E84963" w14:textId="105C52EB" w:rsidR="00E85287" w:rsidRPr="003A644A" w:rsidRDefault="00BE6244" w:rsidP="00E85287">
      <w:pPr>
        <w:jc w:val="center"/>
        <w:rPr>
          <w:rFonts w:asciiTheme="majorBidi" w:hAnsiTheme="majorBidi" w:cstheme="majorBidi"/>
          <w:b/>
        </w:rPr>
      </w:pPr>
      <w:r>
        <w:rPr>
          <w:rFonts w:asciiTheme="majorBidi" w:hAnsiTheme="majorBidi" w:cstheme="majorBidi"/>
          <w:b/>
          <w:noProof/>
        </w:rPr>
        <w:drawing>
          <wp:inline distT="0" distB="0" distL="0" distR="0" wp14:anchorId="6D52A5BE" wp14:editId="3323A990">
            <wp:extent cx="4388144" cy="72339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2.png"/>
                    <pic:cNvPicPr/>
                  </pic:nvPicPr>
                  <pic:blipFill>
                    <a:blip r:embed="rId10">
                      <a:extLst>
                        <a:ext uri="{28A0092B-C50C-407E-A947-70E740481C1C}">
                          <a14:useLocalDpi xmlns:a14="http://schemas.microsoft.com/office/drawing/2010/main" val="0"/>
                        </a:ext>
                      </a:extLst>
                    </a:blip>
                    <a:stretch>
                      <a:fillRect/>
                    </a:stretch>
                  </pic:blipFill>
                  <pic:spPr>
                    <a:xfrm>
                      <a:off x="0" y="0"/>
                      <a:ext cx="4391428" cy="7239334"/>
                    </a:xfrm>
                    <a:prstGeom prst="rect">
                      <a:avLst/>
                    </a:prstGeom>
                  </pic:spPr>
                </pic:pic>
              </a:graphicData>
            </a:graphic>
          </wp:inline>
        </w:drawing>
      </w:r>
    </w:p>
    <w:p w14:paraId="389E4CE6" w14:textId="04D87E96" w:rsidR="006A4C2F" w:rsidRPr="0002014F" w:rsidRDefault="00AD0B45" w:rsidP="00F0461D">
      <w:pPr>
        <w:pStyle w:val="Caption"/>
        <w:keepNext/>
        <w:jc w:val="both"/>
        <w:outlineLvl w:val="0"/>
        <w:rPr>
          <w:rFonts w:asciiTheme="majorBidi" w:hAnsiTheme="majorBidi" w:cstheme="majorBidi"/>
          <w:i w:val="0"/>
          <w:iCs w:val="0"/>
          <w:color w:val="000000" w:themeColor="text1"/>
          <w:sz w:val="20"/>
          <w:szCs w:val="20"/>
        </w:rPr>
      </w:pPr>
      <w:bookmarkStart w:id="6" w:name="_Toc26552232"/>
      <w:bookmarkEnd w:id="5"/>
      <w:r w:rsidRPr="0002014F">
        <w:rPr>
          <w:rFonts w:asciiTheme="majorBidi" w:hAnsiTheme="majorBidi" w:cstheme="majorBidi"/>
          <w:b/>
          <w:i w:val="0"/>
          <w:iCs w:val="0"/>
          <w:color w:val="000000" w:themeColor="text1"/>
          <w:sz w:val="20"/>
          <w:szCs w:val="20"/>
        </w:rPr>
        <w:lastRenderedPageBreak/>
        <w:t>Supplementary Fig</w:t>
      </w:r>
      <w:r w:rsidR="00A00A8F" w:rsidRPr="0002014F">
        <w:rPr>
          <w:rFonts w:asciiTheme="majorBidi" w:hAnsiTheme="majorBidi" w:cstheme="majorBidi"/>
          <w:b/>
          <w:i w:val="0"/>
          <w:iCs w:val="0"/>
          <w:color w:val="000000" w:themeColor="text1"/>
          <w:sz w:val="20"/>
          <w:szCs w:val="20"/>
        </w:rPr>
        <w:t>.</w:t>
      </w:r>
      <w:r w:rsidRPr="0002014F">
        <w:rPr>
          <w:rFonts w:asciiTheme="majorBidi" w:hAnsiTheme="majorBidi" w:cstheme="majorBidi"/>
          <w:b/>
          <w:i w:val="0"/>
          <w:iCs w:val="0"/>
          <w:color w:val="000000" w:themeColor="text1"/>
          <w:sz w:val="20"/>
          <w:szCs w:val="20"/>
        </w:rPr>
        <w:t xml:space="preserve"> 5. Sensitivity analyses of annual liver-related costs attributable to chronic hepatitis C costs (S3): </w:t>
      </w:r>
      <w:r w:rsidRPr="0002014F">
        <w:rPr>
          <w:rFonts w:asciiTheme="majorBidi" w:hAnsiTheme="majorBidi" w:cstheme="majorBidi"/>
          <w:b/>
          <w:i w:val="0"/>
          <w:iCs w:val="0"/>
          <w:color w:val="000000" w:themeColor="text1"/>
          <w:sz w:val="20"/>
          <w:szCs w:val="20"/>
          <w:lang w:val="en-CA"/>
        </w:rPr>
        <w:t>Change the cost of liver disease after SVR to zero</w:t>
      </w:r>
      <w:r w:rsidRPr="0002014F">
        <w:rPr>
          <w:rFonts w:asciiTheme="majorBidi" w:hAnsiTheme="majorBidi" w:cstheme="majorBidi"/>
          <w:b/>
          <w:i w:val="0"/>
          <w:iCs w:val="0"/>
          <w:color w:val="000000" w:themeColor="text1"/>
          <w:sz w:val="20"/>
          <w:szCs w:val="20"/>
          <w:lang w:val="en-GB"/>
        </w:rPr>
        <w:t xml:space="preserve">. </w:t>
      </w:r>
      <w:proofErr w:type="spellStart"/>
      <w:r w:rsidRPr="0002014F">
        <w:rPr>
          <w:rFonts w:asciiTheme="majorBidi" w:hAnsiTheme="majorBidi" w:cstheme="majorBidi"/>
          <w:i w:val="0"/>
          <w:iCs w:val="0"/>
          <w:color w:val="000000" w:themeColor="text1"/>
          <w:sz w:val="20"/>
          <w:szCs w:val="20"/>
        </w:rPr>
        <w:t>Antibody→PCR</w:t>
      </w:r>
      <w:proofErr w:type="spellEnd"/>
      <w:r w:rsidRPr="0002014F">
        <w:rPr>
          <w:rFonts w:asciiTheme="majorBidi" w:hAnsiTheme="majorBidi" w:cstheme="majorBidi"/>
          <w:i w:val="0"/>
          <w:iCs w:val="0"/>
          <w:color w:val="000000" w:themeColor="text1"/>
          <w:sz w:val="20"/>
          <w:szCs w:val="20"/>
        </w:rPr>
        <w:t xml:space="preserve">, antibody test followed by PCR, </w:t>
      </w:r>
      <w:proofErr w:type="spellStart"/>
      <w:r w:rsidRPr="0002014F">
        <w:rPr>
          <w:rFonts w:asciiTheme="majorBidi" w:hAnsiTheme="majorBidi" w:cstheme="majorBidi"/>
          <w:i w:val="0"/>
          <w:iCs w:val="0"/>
          <w:color w:val="000000" w:themeColor="text1"/>
          <w:sz w:val="20"/>
          <w:szCs w:val="20"/>
        </w:rPr>
        <w:t>Antibody→Antigen</w:t>
      </w:r>
      <w:proofErr w:type="spellEnd"/>
      <w:r w:rsidRPr="0002014F">
        <w:rPr>
          <w:rFonts w:asciiTheme="majorBidi" w:hAnsiTheme="majorBidi" w:cstheme="majorBidi"/>
          <w:i w:val="0"/>
          <w:iCs w:val="0"/>
          <w:color w:val="000000" w:themeColor="text1"/>
          <w:sz w:val="20"/>
          <w:szCs w:val="20"/>
        </w:rPr>
        <w:t>: antibody test followed by antigen test.</w:t>
      </w:r>
      <w:bookmarkEnd w:id="6"/>
      <w:r w:rsidR="006A4C2F" w:rsidRPr="0002014F">
        <w:rPr>
          <w:rFonts w:asciiTheme="majorBidi" w:hAnsiTheme="majorBidi" w:cstheme="majorBidi"/>
          <w:i w:val="0"/>
          <w:iCs w:val="0"/>
          <w:color w:val="000000" w:themeColor="text1"/>
          <w:sz w:val="20"/>
          <w:szCs w:val="20"/>
        </w:rPr>
        <w:t xml:space="preserve"> AB: antibody; AG: antigen.</w:t>
      </w:r>
    </w:p>
    <w:p w14:paraId="6AAB3544" w14:textId="40E5C6AE" w:rsidR="00AD0B45" w:rsidRPr="003A644A" w:rsidRDefault="00AB7EB5" w:rsidP="006A4C2F">
      <w:pPr>
        <w:pStyle w:val="Heading1"/>
        <w:jc w:val="center"/>
        <w:rPr>
          <w:rFonts w:asciiTheme="majorBidi" w:hAnsiTheme="majorBidi"/>
          <w:b/>
          <w:sz w:val="20"/>
          <w:szCs w:val="20"/>
          <w:lang w:val="en-GB"/>
        </w:rPr>
      </w:pPr>
      <w:r>
        <w:rPr>
          <w:rFonts w:asciiTheme="majorBidi" w:hAnsiTheme="majorBidi"/>
          <w:b/>
          <w:noProof/>
          <w:sz w:val="20"/>
          <w:szCs w:val="20"/>
          <w:lang w:val="en-GB"/>
        </w:rPr>
        <w:drawing>
          <wp:inline distT="0" distB="0" distL="0" distR="0" wp14:anchorId="4D2CC253" wp14:editId="7238253E">
            <wp:extent cx="4326399" cy="700362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3.png"/>
                    <pic:cNvPicPr/>
                  </pic:nvPicPr>
                  <pic:blipFill>
                    <a:blip r:embed="rId11">
                      <a:extLst>
                        <a:ext uri="{28A0092B-C50C-407E-A947-70E740481C1C}">
                          <a14:useLocalDpi xmlns:a14="http://schemas.microsoft.com/office/drawing/2010/main" val="0"/>
                        </a:ext>
                      </a:extLst>
                    </a:blip>
                    <a:stretch>
                      <a:fillRect/>
                    </a:stretch>
                  </pic:blipFill>
                  <pic:spPr>
                    <a:xfrm>
                      <a:off x="0" y="0"/>
                      <a:ext cx="4330308" cy="7009955"/>
                    </a:xfrm>
                    <a:prstGeom prst="rect">
                      <a:avLst/>
                    </a:prstGeom>
                  </pic:spPr>
                </pic:pic>
              </a:graphicData>
            </a:graphic>
          </wp:inline>
        </w:drawing>
      </w:r>
    </w:p>
    <w:p w14:paraId="452766D1" w14:textId="5AFC8B39" w:rsidR="00AD0B45" w:rsidRPr="003A644A" w:rsidRDefault="00AD0B45" w:rsidP="00AD0B45">
      <w:pPr>
        <w:jc w:val="center"/>
        <w:rPr>
          <w:rFonts w:asciiTheme="majorBidi" w:hAnsiTheme="majorBidi" w:cstheme="majorBidi"/>
          <w:i/>
          <w:color w:val="000000" w:themeColor="text1"/>
        </w:rPr>
      </w:pPr>
    </w:p>
    <w:p w14:paraId="53181AA2" w14:textId="007CE6DC" w:rsidR="00AD0B45" w:rsidRPr="003A644A" w:rsidRDefault="00AD0B45" w:rsidP="00F0461D">
      <w:pPr>
        <w:pStyle w:val="Heading1"/>
        <w:jc w:val="both"/>
        <w:rPr>
          <w:rFonts w:asciiTheme="majorBidi" w:hAnsiTheme="majorBidi"/>
          <w:b/>
          <w:sz w:val="20"/>
          <w:szCs w:val="20"/>
          <w:lang w:val="en-GB"/>
        </w:rPr>
      </w:pPr>
      <w:bookmarkStart w:id="7" w:name="_Toc26552233"/>
      <w:r w:rsidRPr="003A644A">
        <w:rPr>
          <w:rFonts w:asciiTheme="majorBidi" w:hAnsiTheme="majorBidi"/>
          <w:b/>
          <w:color w:val="000000" w:themeColor="text1"/>
          <w:sz w:val="20"/>
          <w:szCs w:val="20"/>
        </w:rPr>
        <w:lastRenderedPageBreak/>
        <w:t>Supplementary Fig</w:t>
      </w:r>
      <w:r w:rsidR="00A00A8F" w:rsidRPr="003A644A">
        <w:rPr>
          <w:rFonts w:asciiTheme="majorBidi" w:hAnsiTheme="majorBidi"/>
          <w:b/>
          <w:color w:val="000000" w:themeColor="text1"/>
          <w:sz w:val="20"/>
          <w:szCs w:val="20"/>
        </w:rPr>
        <w:t>.</w:t>
      </w:r>
      <w:r w:rsidRPr="003A644A">
        <w:rPr>
          <w:rFonts w:asciiTheme="majorBidi" w:hAnsiTheme="majorBidi"/>
          <w:b/>
          <w:color w:val="000000" w:themeColor="text1"/>
          <w:sz w:val="20"/>
          <w:szCs w:val="20"/>
        </w:rPr>
        <w:t xml:space="preserve"> 6. Sensitivity analyses of annual liver-related costs attributable to chronic hepatitis C costs (S4): </w:t>
      </w:r>
      <w:r w:rsidRPr="003A644A">
        <w:rPr>
          <w:rFonts w:asciiTheme="majorBidi" w:hAnsiTheme="majorBidi"/>
          <w:b/>
          <w:color w:val="000000" w:themeColor="text1"/>
          <w:sz w:val="20"/>
          <w:szCs w:val="20"/>
          <w:lang w:val="en-CA"/>
        </w:rPr>
        <w:t>Different set of liver disease costs (based on data from France)</w:t>
      </w:r>
      <w:r w:rsidRPr="003A644A">
        <w:rPr>
          <w:rFonts w:asciiTheme="majorBidi" w:hAnsiTheme="majorBidi"/>
          <w:b/>
          <w:color w:val="000000" w:themeColor="text1"/>
          <w:sz w:val="20"/>
          <w:szCs w:val="20"/>
          <w:lang w:val="en-GB"/>
        </w:rPr>
        <w:t xml:space="preserve">. </w:t>
      </w:r>
      <w:proofErr w:type="spellStart"/>
      <w:r w:rsidRPr="003A644A">
        <w:rPr>
          <w:rFonts w:asciiTheme="majorBidi" w:hAnsiTheme="majorBidi"/>
          <w:color w:val="000000" w:themeColor="text1"/>
          <w:sz w:val="20"/>
          <w:szCs w:val="20"/>
        </w:rPr>
        <w:t>Antibody→PCR</w:t>
      </w:r>
      <w:proofErr w:type="spellEnd"/>
      <w:r w:rsidRPr="003A644A">
        <w:rPr>
          <w:rFonts w:asciiTheme="majorBidi" w:hAnsiTheme="majorBidi"/>
          <w:color w:val="000000" w:themeColor="text1"/>
          <w:sz w:val="20"/>
          <w:szCs w:val="20"/>
        </w:rPr>
        <w:t xml:space="preserve">, antibody test followed by PCR, </w:t>
      </w:r>
      <w:proofErr w:type="spellStart"/>
      <w:r w:rsidRPr="003A644A">
        <w:rPr>
          <w:rFonts w:asciiTheme="majorBidi" w:hAnsiTheme="majorBidi"/>
          <w:color w:val="000000" w:themeColor="text1"/>
          <w:sz w:val="20"/>
          <w:szCs w:val="20"/>
        </w:rPr>
        <w:t>Antibody→Antigen</w:t>
      </w:r>
      <w:proofErr w:type="spellEnd"/>
      <w:r w:rsidRPr="003A644A">
        <w:rPr>
          <w:rFonts w:asciiTheme="majorBidi" w:hAnsiTheme="majorBidi"/>
          <w:color w:val="000000" w:themeColor="text1"/>
          <w:sz w:val="20"/>
          <w:szCs w:val="20"/>
        </w:rPr>
        <w:t>: antibody test followed by antigen test.</w:t>
      </w:r>
      <w:bookmarkEnd w:id="7"/>
      <w:r w:rsidR="006A4C2F" w:rsidRPr="003A644A">
        <w:rPr>
          <w:rFonts w:asciiTheme="majorBidi" w:hAnsiTheme="majorBidi"/>
          <w:color w:val="000000" w:themeColor="text1"/>
          <w:sz w:val="20"/>
          <w:szCs w:val="20"/>
        </w:rPr>
        <w:t xml:space="preserve"> </w:t>
      </w:r>
      <w:r w:rsidR="006A4C2F" w:rsidRPr="003A644A">
        <w:rPr>
          <w:rFonts w:asciiTheme="majorBidi" w:hAnsiTheme="majorBidi"/>
          <w:i/>
          <w:color w:val="000000" w:themeColor="text1"/>
          <w:sz w:val="20"/>
          <w:szCs w:val="20"/>
        </w:rPr>
        <w:t>AB: antibody; AG: antigen.</w:t>
      </w:r>
    </w:p>
    <w:p w14:paraId="5EC2910A" w14:textId="4A03DBB9" w:rsidR="00AD0B45" w:rsidRPr="003A644A" w:rsidRDefault="00D0160F" w:rsidP="00AD0B45">
      <w:pPr>
        <w:spacing w:line="480" w:lineRule="auto"/>
        <w:jc w:val="center"/>
        <w:rPr>
          <w:rFonts w:asciiTheme="majorBidi" w:hAnsiTheme="majorBidi" w:cstheme="majorBidi"/>
        </w:rPr>
      </w:pPr>
      <w:r>
        <w:rPr>
          <w:rFonts w:asciiTheme="majorBidi" w:hAnsiTheme="majorBidi" w:cstheme="majorBidi"/>
          <w:noProof/>
        </w:rPr>
        <w:drawing>
          <wp:inline distT="0" distB="0" distL="0" distR="0" wp14:anchorId="1A710CB4" wp14:editId="3137C4C7">
            <wp:extent cx="4440973" cy="71932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4.png"/>
                    <pic:cNvPicPr/>
                  </pic:nvPicPr>
                  <pic:blipFill>
                    <a:blip r:embed="rId12">
                      <a:extLst>
                        <a:ext uri="{28A0092B-C50C-407E-A947-70E740481C1C}">
                          <a14:useLocalDpi xmlns:a14="http://schemas.microsoft.com/office/drawing/2010/main" val="0"/>
                        </a:ext>
                      </a:extLst>
                    </a:blip>
                    <a:stretch>
                      <a:fillRect/>
                    </a:stretch>
                  </pic:blipFill>
                  <pic:spPr>
                    <a:xfrm>
                      <a:off x="0" y="0"/>
                      <a:ext cx="4442765" cy="7196183"/>
                    </a:xfrm>
                    <a:prstGeom prst="rect">
                      <a:avLst/>
                    </a:prstGeom>
                  </pic:spPr>
                </pic:pic>
              </a:graphicData>
            </a:graphic>
          </wp:inline>
        </w:drawing>
      </w:r>
    </w:p>
    <w:p w14:paraId="32D5E063" w14:textId="52B13966" w:rsidR="008D6A7A" w:rsidRPr="003A644A" w:rsidRDefault="008D6A7A" w:rsidP="008D6A7A">
      <w:pPr>
        <w:pStyle w:val="Heading1"/>
        <w:jc w:val="both"/>
        <w:rPr>
          <w:rFonts w:asciiTheme="majorBidi" w:hAnsiTheme="majorBidi"/>
          <w:color w:val="000000" w:themeColor="text1"/>
          <w:sz w:val="20"/>
          <w:szCs w:val="20"/>
        </w:rPr>
      </w:pPr>
      <w:bookmarkStart w:id="8" w:name="_Toc26552234"/>
      <w:r w:rsidRPr="003A644A">
        <w:rPr>
          <w:rFonts w:asciiTheme="majorBidi" w:hAnsiTheme="majorBidi"/>
          <w:b/>
          <w:color w:val="000000" w:themeColor="text1"/>
          <w:sz w:val="20"/>
          <w:szCs w:val="20"/>
        </w:rPr>
        <w:lastRenderedPageBreak/>
        <w:t xml:space="preserve">Supplementary Fig. </w:t>
      </w:r>
      <w:r>
        <w:rPr>
          <w:rFonts w:asciiTheme="majorBidi" w:hAnsiTheme="majorBidi"/>
          <w:b/>
          <w:color w:val="000000" w:themeColor="text1"/>
          <w:sz w:val="20"/>
          <w:szCs w:val="20"/>
        </w:rPr>
        <w:t>7</w:t>
      </w:r>
      <w:r w:rsidRPr="003A644A">
        <w:rPr>
          <w:rFonts w:asciiTheme="majorBidi" w:hAnsiTheme="majorBidi"/>
          <w:b/>
          <w:color w:val="000000" w:themeColor="text1"/>
          <w:sz w:val="20"/>
          <w:szCs w:val="20"/>
        </w:rPr>
        <w:t xml:space="preserve">. </w:t>
      </w:r>
      <w:r>
        <w:rPr>
          <w:rFonts w:asciiTheme="majorBidi" w:hAnsiTheme="majorBidi"/>
          <w:b/>
          <w:color w:val="000000" w:themeColor="text1"/>
          <w:sz w:val="20"/>
          <w:szCs w:val="20"/>
        </w:rPr>
        <w:t>Substantially reducing the cost of HCV treatment</w:t>
      </w:r>
      <w:r w:rsidRPr="003A644A">
        <w:rPr>
          <w:rFonts w:asciiTheme="majorBidi" w:hAnsiTheme="majorBidi"/>
          <w:b/>
          <w:color w:val="000000" w:themeColor="text1"/>
          <w:sz w:val="20"/>
          <w:szCs w:val="20"/>
        </w:rPr>
        <w:t xml:space="preserve"> ((S</w:t>
      </w:r>
      <w:r>
        <w:rPr>
          <w:rFonts w:asciiTheme="majorBidi" w:hAnsiTheme="majorBidi"/>
          <w:b/>
          <w:color w:val="000000" w:themeColor="text1"/>
          <w:sz w:val="20"/>
          <w:szCs w:val="20"/>
        </w:rPr>
        <w:t>7</w:t>
      </w:r>
      <w:r w:rsidRPr="003A644A">
        <w:rPr>
          <w:rFonts w:asciiTheme="majorBidi" w:hAnsiTheme="majorBidi"/>
          <w:b/>
          <w:color w:val="000000" w:themeColor="text1"/>
          <w:sz w:val="20"/>
          <w:szCs w:val="20"/>
        </w:rPr>
        <w:t>))</w:t>
      </w:r>
      <w:r w:rsidRPr="003A644A">
        <w:rPr>
          <w:rFonts w:asciiTheme="majorBidi" w:hAnsiTheme="majorBidi"/>
          <w:b/>
          <w:color w:val="000000" w:themeColor="text1"/>
          <w:sz w:val="20"/>
          <w:szCs w:val="20"/>
          <w:lang w:val="en-GB"/>
        </w:rPr>
        <w:t xml:space="preserve">. </w:t>
      </w:r>
      <w:proofErr w:type="spellStart"/>
      <w:r w:rsidRPr="003A644A">
        <w:rPr>
          <w:rFonts w:asciiTheme="majorBidi" w:hAnsiTheme="majorBidi"/>
          <w:color w:val="000000" w:themeColor="text1"/>
          <w:sz w:val="20"/>
          <w:szCs w:val="20"/>
        </w:rPr>
        <w:t>Antibody→PCR</w:t>
      </w:r>
      <w:proofErr w:type="spellEnd"/>
      <w:r w:rsidRPr="003A644A">
        <w:rPr>
          <w:rFonts w:asciiTheme="majorBidi" w:hAnsiTheme="majorBidi"/>
          <w:color w:val="000000" w:themeColor="text1"/>
          <w:sz w:val="20"/>
          <w:szCs w:val="20"/>
        </w:rPr>
        <w:t xml:space="preserve">, antibody test followed by PCR, </w:t>
      </w:r>
      <w:proofErr w:type="spellStart"/>
      <w:r w:rsidRPr="003A644A">
        <w:rPr>
          <w:rFonts w:asciiTheme="majorBidi" w:hAnsiTheme="majorBidi"/>
          <w:color w:val="000000" w:themeColor="text1"/>
          <w:sz w:val="20"/>
          <w:szCs w:val="20"/>
        </w:rPr>
        <w:t>Antibody→Antigen</w:t>
      </w:r>
      <w:proofErr w:type="spellEnd"/>
      <w:r w:rsidRPr="003A644A">
        <w:rPr>
          <w:rFonts w:asciiTheme="majorBidi" w:hAnsiTheme="majorBidi"/>
          <w:color w:val="000000" w:themeColor="text1"/>
          <w:sz w:val="20"/>
          <w:szCs w:val="20"/>
        </w:rPr>
        <w:t xml:space="preserve">: antibody test followed by antigen test. </w:t>
      </w:r>
      <w:r w:rsidRPr="003A644A">
        <w:rPr>
          <w:rFonts w:asciiTheme="majorBidi" w:hAnsiTheme="majorBidi"/>
          <w:i/>
          <w:color w:val="000000" w:themeColor="text1"/>
          <w:sz w:val="20"/>
          <w:szCs w:val="20"/>
        </w:rPr>
        <w:t>AB: antibody; AG: antigen.</w:t>
      </w:r>
    </w:p>
    <w:p w14:paraId="520DF6A1" w14:textId="77777777" w:rsidR="008D6A7A" w:rsidRDefault="008D6A7A" w:rsidP="008D6A7A">
      <w:pPr>
        <w:spacing w:line="480" w:lineRule="auto"/>
        <w:rPr>
          <w:rFonts w:asciiTheme="minorHAnsi" w:hAnsiTheme="minorHAnsi" w:cstheme="minorHAnsi"/>
        </w:rPr>
      </w:pPr>
    </w:p>
    <w:p w14:paraId="56FA0086" w14:textId="1111323C" w:rsidR="0003594F" w:rsidRDefault="008D6A7A" w:rsidP="008D6A7A">
      <w:pPr>
        <w:spacing w:line="480" w:lineRule="auto"/>
        <w:rPr>
          <w:rFonts w:asciiTheme="minorHAnsi" w:hAnsiTheme="minorHAnsi" w:cstheme="minorHAnsi"/>
        </w:rPr>
      </w:pPr>
      <w:r>
        <w:rPr>
          <w:rFonts w:asciiTheme="minorHAnsi" w:hAnsiTheme="minorHAnsi" w:cstheme="minorHAnsi"/>
          <w:noProof/>
          <w:lang w:val="en-GB" w:eastAsia="en-GB"/>
        </w:rPr>
        <w:drawing>
          <wp:anchor distT="0" distB="0" distL="114300" distR="114300" simplePos="0" relativeHeight="251660288" behindDoc="0" locked="0" layoutInCell="1" allowOverlap="1" wp14:anchorId="38D1105B" wp14:editId="476D3692">
            <wp:simplePos x="1090569" y="1686187"/>
            <wp:positionH relativeFrom="column">
              <wp:align>left</wp:align>
            </wp:positionH>
            <wp:positionV relativeFrom="paragraph">
              <wp:align>top</wp:align>
            </wp:positionV>
            <wp:extent cx="5016500" cy="2921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7.png"/>
                    <pic:cNvPicPr/>
                  </pic:nvPicPr>
                  <pic:blipFill>
                    <a:blip r:embed="rId13">
                      <a:extLst>
                        <a:ext uri="{28A0092B-C50C-407E-A947-70E740481C1C}">
                          <a14:useLocalDpi xmlns:a14="http://schemas.microsoft.com/office/drawing/2010/main" val="0"/>
                        </a:ext>
                      </a:extLst>
                    </a:blip>
                    <a:stretch>
                      <a:fillRect/>
                    </a:stretch>
                  </pic:blipFill>
                  <pic:spPr>
                    <a:xfrm>
                      <a:off x="0" y="0"/>
                      <a:ext cx="5016500" cy="2921000"/>
                    </a:xfrm>
                    <a:prstGeom prst="rect">
                      <a:avLst/>
                    </a:prstGeom>
                  </pic:spPr>
                </pic:pic>
              </a:graphicData>
            </a:graphic>
          </wp:anchor>
        </w:drawing>
      </w:r>
      <w:r>
        <w:rPr>
          <w:rFonts w:asciiTheme="minorHAnsi" w:hAnsiTheme="minorHAnsi" w:cstheme="minorHAnsi"/>
        </w:rPr>
        <w:br w:type="textWrapping" w:clear="all"/>
      </w:r>
    </w:p>
    <w:p w14:paraId="360E51FB" w14:textId="5E6BD6E9" w:rsidR="0003594F" w:rsidRDefault="0003594F" w:rsidP="00F0461D">
      <w:pPr>
        <w:pStyle w:val="Heading1"/>
        <w:jc w:val="both"/>
        <w:rPr>
          <w:rFonts w:asciiTheme="majorBidi" w:eastAsia="Times New Roman" w:hAnsiTheme="majorBidi" w:cs="Times New Roman"/>
          <w:b/>
          <w:color w:val="000000" w:themeColor="text1"/>
          <w:sz w:val="20"/>
          <w:szCs w:val="20"/>
        </w:rPr>
      </w:pPr>
    </w:p>
    <w:p w14:paraId="6A20827B" w14:textId="7C3AA0B7" w:rsidR="0003594F" w:rsidRDefault="0003594F" w:rsidP="0003594F"/>
    <w:p w14:paraId="70348C3B" w14:textId="2AF4A819" w:rsidR="0003594F" w:rsidRDefault="0003594F" w:rsidP="0003594F"/>
    <w:p w14:paraId="06E199E2" w14:textId="17D91B91" w:rsidR="0003594F" w:rsidRDefault="0003594F" w:rsidP="0003594F"/>
    <w:p w14:paraId="7F034072" w14:textId="3ACC4D26" w:rsidR="0003594F" w:rsidRDefault="0003594F" w:rsidP="0003594F"/>
    <w:p w14:paraId="4AB88ED5" w14:textId="254C6E07" w:rsidR="0003594F" w:rsidRDefault="0003594F" w:rsidP="0003594F"/>
    <w:p w14:paraId="0025C48F" w14:textId="43F25666" w:rsidR="0003594F" w:rsidRDefault="0003594F" w:rsidP="0003594F"/>
    <w:p w14:paraId="42E96697" w14:textId="0F11876D" w:rsidR="0003594F" w:rsidRDefault="0003594F" w:rsidP="0003594F"/>
    <w:p w14:paraId="2E850889" w14:textId="40A5427E" w:rsidR="0003594F" w:rsidRDefault="0003594F" w:rsidP="0003594F"/>
    <w:p w14:paraId="1EF4A3A2" w14:textId="2A3638BF" w:rsidR="0003594F" w:rsidRDefault="0003594F" w:rsidP="0003594F"/>
    <w:p w14:paraId="7D2BC861" w14:textId="13B33F01" w:rsidR="0003594F" w:rsidRDefault="0003594F" w:rsidP="0003594F"/>
    <w:p w14:paraId="5E84D650" w14:textId="291EA9CF" w:rsidR="0003594F" w:rsidRDefault="0003594F" w:rsidP="0003594F"/>
    <w:p w14:paraId="18652F83" w14:textId="7CDC68BD" w:rsidR="0003594F" w:rsidRDefault="0003594F" w:rsidP="0003594F"/>
    <w:p w14:paraId="2EAB04AF" w14:textId="71DF884F" w:rsidR="0003594F" w:rsidRDefault="0003594F" w:rsidP="0003594F"/>
    <w:p w14:paraId="277D3DA1" w14:textId="0AB217F1" w:rsidR="0003594F" w:rsidRDefault="0003594F" w:rsidP="0003594F"/>
    <w:p w14:paraId="6D4D32D8" w14:textId="45A46E72" w:rsidR="0003594F" w:rsidRDefault="0003594F" w:rsidP="0003594F"/>
    <w:p w14:paraId="502DED7F" w14:textId="0CFCF210" w:rsidR="0003594F" w:rsidRDefault="0003594F" w:rsidP="0003594F"/>
    <w:p w14:paraId="5EDF09E1" w14:textId="2D8AF42D" w:rsidR="0003594F" w:rsidRDefault="0003594F" w:rsidP="0003594F"/>
    <w:p w14:paraId="46C62A5B" w14:textId="3B53ADE4" w:rsidR="0003594F" w:rsidRDefault="0003594F" w:rsidP="0003594F"/>
    <w:p w14:paraId="1442CC96" w14:textId="61AF5847" w:rsidR="0003594F" w:rsidRDefault="0003594F" w:rsidP="0003594F"/>
    <w:p w14:paraId="49D17ABA" w14:textId="045E1EF8" w:rsidR="0003594F" w:rsidRDefault="0003594F" w:rsidP="0003594F"/>
    <w:p w14:paraId="29D6CB10" w14:textId="77777777" w:rsidR="0003594F" w:rsidRPr="00586132" w:rsidRDefault="0003594F" w:rsidP="00586132"/>
    <w:p w14:paraId="7B00C615" w14:textId="2E1BDC56" w:rsidR="00AD0B45" w:rsidRDefault="00AD0B45" w:rsidP="0003594F">
      <w:pPr>
        <w:spacing w:line="480" w:lineRule="auto"/>
        <w:rPr>
          <w:i/>
        </w:rPr>
      </w:pPr>
      <w:r w:rsidRPr="003A644A">
        <w:rPr>
          <w:b/>
        </w:rPr>
        <w:lastRenderedPageBreak/>
        <w:t>Supplementary Fig</w:t>
      </w:r>
      <w:r w:rsidR="00A00A8F" w:rsidRPr="003A644A">
        <w:rPr>
          <w:b/>
        </w:rPr>
        <w:t>.</w:t>
      </w:r>
      <w:r w:rsidRPr="003A644A">
        <w:rPr>
          <w:b/>
        </w:rPr>
        <w:t xml:space="preserve"> </w:t>
      </w:r>
      <w:r w:rsidR="008D6A7A">
        <w:rPr>
          <w:b/>
        </w:rPr>
        <w:t>8</w:t>
      </w:r>
      <w:r w:rsidRPr="003A644A">
        <w:rPr>
          <w:b/>
        </w:rPr>
        <w:t>. Sensitivity analyses of prevalence (low prevalence among non-IDU population (S5))</w:t>
      </w:r>
      <w:r w:rsidRPr="003A644A">
        <w:rPr>
          <w:b/>
          <w:lang w:val="en-GB"/>
        </w:rPr>
        <w:t xml:space="preserve">. </w:t>
      </w:r>
      <w:proofErr w:type="spellStart"/>
      <w:r w:rsidRPr="003A644A">
        <w:t>Antibody→PCR</w:t>
      </w:r>
      <w:proofErr w:type="spellEnd"/>
      <w:r w:rsidRPr="003A644A">
        <w:t xml:space="preserve">, antibody test followed by PCR, </w:t>
      </w:r>
      <w:proofErr w:type="spellStart"/>
      <w:r w:rsidRPr="003A644A">
        <w:t>Antibody→Antigen</w:t>
      </w:r>
      <w:proofErr w:type="spellEnd"/>
      <w:r w:rsidRPr="003A644A">
        <w:t>: antibody test followed by antigen test.</w:t>
      </w:r>
      <w:bookmarkEnd w:id="8"/>
      <w:r w:rsidR="00A40159" w:rsidRPr="003A644A">
        <w:t xml:space="preserve"> </w:t>
      </w:r>
      <w:r w:rsidR="00A40159" w:rsidRPr="003A644A">
        <w:rPr>
          <w:i/>
        </w:rPr>
        <w:t>AB: antibody; AG: antigen.</w:t>
      </w:r>
    </w:p>
    <w:p w14:paraId="7DE0912D" w14:textId="19BFD707" w:rsidR="0003594F" w:rsidRPr="003A644A" w:rsidRDefault="0003594F" w:rsidP="00586132">
      <w:pPr>
        <w:spacing w:line="480" w:lineRule="auto"/>
        <w:jc w:val="center"/>
      </w:pPr>
      <w:r>
        <w:rPr>
          <w:noProof/>
        </w:rPr>
        <w:drawing>
          <wp:inline distT="0" distB="0" distL="0" distR="0" wp14:anchorId="6FA8DA7E" wp14:editId="65C0FB40">
            <wp:extent cx="4097867" cy="693564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5.png"/>
                    <pic:cNvPicPr/>
                  </pic:nvPicPr>
                  <pic:blipFill>
                    <a:blip r:embed="rId14">
                      <a:extLst>
                        <a:ext uri="{28A0092B-C50C-407E-A947-70E740481C1C}">
                          <a14:useLocalDpi xmlns:a14="http://schemas.microsoft.com/office/drawing/2010/main" val="0"/>
                        </a:ext>
                      </a:extLst>
                    </a:blip>
                    <a:stretch>
                      <a:fillRect/>
                    </a:stretch>
                  </pic:blipFill>
                  <pic:spPr>
                    <a:xfrm>
                      <a:off x="0" y="0"/>
                      <a:ext cx="4116026" cy="6966375"/>
                    </a:xfrm>
                    <a:prstGeom prst="rect">
                      <a:avLst/>
                    </a:prstGeom>
                  </pic:spPr>
                </pic:pic>
              </a:graphicData>
            </a:graphic>
          </wp:inline>
        </w:drawing>
      </w:r>
    </w:p>
    <w:p w14:paraId="4F87A6F8" w14:textId="221D55C2" w:rsidR="00CA1041" w:rsidRDefault="00CA1041" w:rsidP="00AD0B45">
      <w:pPr>
        <w:jc w:val="center"/>
        <w:rPr>
          <w:rFonts w:asciiTheme="majorBidi" w:hAnsiTheme="majorBidi" w:cstheme="majorBidi"/>
          <w:b/>
          <w:lang w:val="de-CH"/>
        </w:rPr>
      </w:pPr>
    </w:p>
    <w:p w14:paraId="5A6FA8E6" w14:textId="77777777" w:rsidR="00CA1041" w:rsidRPr="003A644A" w:rsidRDefault="00CA1041" w:rsidP="00AD0B45">
      <w:pPr>
        <w:jc w:val="center"/>
        <w:rPr>
          <w:rFonts w:asciiTheme="majorBidi" w:hAnsiTheme="majorBidi" w:cstheme="majorBidi"/>
          <w:b/>
          <w:lang w:val="de-CH"/>
        </w:rPr>
      </w:pPr>
    </w:p>
    <w:p w14:paraId="6951F89D" w14:textId="475C686B" w:rsidR="00AD0B45" w:rsidRPr="003A644A" w:rsidRDefault="00AD0B45" w:rsidP="00586132">
      <w:pPr>
        <w:jc w:val="center"/>
      </w:pPr>
      <w:bookmarkStart w:id="9" w:name="_Toc26552235"/>
      <w:r w:rsidRPr="003A644A">
        <w:rPr>
          <w:b/>
        </w:rPr>
        <w:t>Supplementary Fig</w:t>
      </w:r>
      <w:r w:rsidR="00A00A8F" w:rsidRPr="003A644A">
        <w:rPr>
          <w:b/>
        </w:rPr>
        <w:t>.</w:t>
      </w:r>
      <w:r w:rsidRPr="003A644A">
        <w:rPr>
          <w:b/>
        </w:rPr>
        <w:t xml:space="preserve"> </w:t>
      </w:r>
      <w:r w:rsidR="008D6A7A">
        <w:rPr>
          <w:b/>
        </w:rPr>
        <w:t>9</w:t>
      </w:r>
      <w:r w:rsidRPr="003A644A">
        <w:rPr>
          <w:b/>
        </w:rPr>
        <w:t>. Sensitivity analyses of prevalence (</w:t>
      </w:r>
      <w:proofErr w:type="gramStart"/>
      <w:r w:rsidRPr="003A644A">
        <w:rPr>
          <w:b/>
        </w:rPr>
        <w:t>high-prevalence</w:t>
      </w:r>
      <w:proofErr w:type="gramEnd"/>
      <w:r w:rsidRPr="003A644A">
        <w:rPr>
          <w:b/>
        </w:rPr>
        <w:t xml:space="preserve"> among IDUs population (S6))</w:t>
      </w:r>
      <w:r w:rsidRPr="003A644A">
        <w:rPr>
          <w:b/>
          <w:lang w:val="en-GB"/>
        </w:rPr>
        <w:t xml:space="preserve">. </w:t>
      </w:r>
      <w:proofErr w:type="spellStart"/>
      <w:r w:rsidRPr="003A644A">
        <w:t>Antibody→PCR</w:t>
      </w:r>
      <w:proofErr w:type="spellEnd"/>
      <w:r w:rsidRPr="003A644A">
        <w:t xml:space="preserve">, antibody test followed by PCR, </w:t>
      </w:r>
      <w:proofErr w:type="spellStart"/>
      <w:r w:rsidRPr="003A644A">
        <w:t>Antibody→Antigen</w:t>
      </w:r>
      <w:proofErr w:type="spellEnd"/>
      <w:r w:rsidRPr="003A644A">
        <w:t>: antibody test followed by antigen test.</w:t>
      </w:r>
      <w:bookmarkEnd w:id="9"/>
      <w:r w:rsidR="00A40159" w:rsidRPr="003A644A">
        <w:t xml:space="preserve"> </w:t>
      </w:r>
      <w:r w:rsidR="00A40159" w:rsidRPr="003A644A">
        <w:rPr>
          <w:i/>
        </w:rPr>
        <w:t>AB: antibody; AG: antigen.</w:t>
      </w:r>
    </w:p>
    <w:p w14:paraId="08BB9E31" w14:textId="10326FC7" w:rsidR="00AD0B45" w:rsidRDefault="000E020A" w:rsidP="00AD0B45">
      <w:pPr>
        <w:jc w:val="center"/>
        <w:rPr>
          <w:rFonts w:asciiTheme="minorHAnsi" w:hAnsiTheme="minorHAnsi" w:cstheme="minorHAnsi"/>
          <w:color w:val="000000" w:themeColor="text1"/>
          <w:sz w:val="22"/>
          <w:szCs w:val="22"/>
        </w:rPr>
      </w:pPr>
      <w:bookmarkStart w:id="10" w:name="_GoBack"/>
      <w:r>
        <w:rPr>
          <w:rFonts w:asciiTheme="minorHAnsi" w:hAnsiTheme="minorHAnsi" w:cstheme="minorHAnsi"/>
          <w:noProof/>
          <w:color w:val="000000" w:themeColor="text1"/>
          <w:sz w:val="22"/>
          <w:szCs w:val="22"/>
        </w:rPr>
        <w:drawing>
          <wp:inline distT="0" distB="0" distL="0" distR="0" wp14:anchorId="7DDF2FC8" wp14:editId="45AB9773">
            <wp:extent cx="4008710" cy="661880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6.png"/>
                    <pic:cNvPicPr/>
                  </pic:nvPicPr>
                  <pic:blipFill>
                    <a:blip r:embed="rId15">
                      <a:extLst>
                        <a:ext uri="{28A0092B-C50C-407E-A947-70E740481C1C}">
                          <a14:useLocalDpi xmlns:a14="http://schemas.microsoft.com/office/drawing/2010/main" val="0"/>
                        </a:ext>
                      </a:extLst>
                    </a:blip>
                    <a:stretch>
                      <a:fillRect/>
                    </a:stretch>
                  </pic:blipFill>
                  <pic:spPr>
                    <a:xfrm>
                      <a:off x="0" y="0"/>
                      <a:ext cx="4015735" cy="6630402"/>
                    </a:xfrm>
                    <a:prstGeom prst="rect">
                      <a:avLst/>
                    </a:prstGeom>
                  </pic:spPr>
                </pic:pic>
              </a:graphicData>
            </a:graphic>
          </wp:inline>
        </w:drawing>
      </w:r>
      <w:bookmarkEnd w:id="10"/>
    </w:p>
    <w:p w14:paraId="20B07AA5" w14:textId="77777777" w:rsidR="00AD0B45" w:rsidRDefault="00AD0B45" w:rsidP="00AD0B45">
      <w:pPr>
        <w:spacing w:line="480" w:lineRule="auto"/>
        <w:rPr>
          <w:rFonts w:asciiTheme="minorHAnsi" w:hAnsiTheme="minorHAnsi" w:cstheme="minorHAnsi"/>
        </w:rPr>
      </w:pPr>
    </w:p>
    <w:p w14:paraId="1FE71356" w14:textId="6D4C42AD" w:rsidR="00AD0B45" w:rsidRPr="008D6A7A" w:rsidRDefault="00AD0B45" w:rsidP="008D6A7A">
      <w:pPr>
        <w:spacing w:line="480" w:lineRule="auto"/>
        <w:rPr>
          <w:rFonts w:asciiTheme="minorHAnsi" w:hAnsiTheme="minorHAnsi" w:cstheme="minorHAnsi"/>
        </w:rPr>
      </w:pPr>
      <w:r w:rsidRPr="005813AE">
        <w:rPr>
          <w:rFonts w:asciiTheme="minorHAnsi" w:hAnsiTheme="minorHAnsi" w:cstheme="minorHAnsi"/>
          <w:b/>
          <w:bCs/>
          <w:sz w:val="22"/>
          <w:szCs w:val="22"/>
        </w:rPr>
        <w:lastRenderedPageBreak/>
        <w:t>References</w:t>
      </w:r>
    </w:p>
    <w:p w14:paraId="7EDD83C9" w14:textId="6FBFB8B7" w:rsidR="00AD0B45" w:rsidRPr="00A206BC" w:rsidRDefault="00AD0B45" w:rsidP="00AD0B45">
      <w:pPr>
        <w:spacing w:line="480" w:lineRule="auto"/>
        <w:rPr>
          <w:rFonts w:asciiTheme="minorHAnsi" w:hAnsiTheme="minorHAnsi" w:cstheme="minorHAnsi"/>
          <w:sz w:val="22"/>
          <w:szCs w:val="22"/>
        </w:rPr>
      </w:pPr>
      <w:r w:rsidRPr="00A206BC">
        <w:rPr>
          <w:rFonts w:asciiTheme="minorHAnsi" w:hAnsiTheme="minorHAnsi" w:cstheme="minorHAnsi"/>
          <w:sz w:val="22"/>
          <w:szCs w:val="22"/>
        </w:rPr>
        <w:t xml:space="preserve">[1] </w:t>
      </w:r>
      <w:proofErr w:type="spellStart"/>
      <w:r w:rsidRPr="00A206BC">
        <w:rPr>
          <w:rFonts w:asciiTheme="minorHAnsi" w:hAnsiTheme="minorHAnsi" w:cstheme="minorHAnsi"/>
          <w:sz w:val="22"/>
          <w:szCs w:val="22"/>
        </w:rPr>
        <w:t>Razavi</w:t>
      </w:r>
      <w:proofErr w:type="spellEnd"/>
      <w:r w:rsidRPr="00A206BC">
        <w:rPr>
          <w:rFonts w:asciiTheme="minorHAnsi" w:hAnsiTheme="minorHAnsi" w:cstheme="minorHAnsi"/>
          <w:sz w:val="22"/>
          <w:szCs w:val="22"/>
        </w:rPr>
        <w:t xml:space="preserve"> H, </w:t>
      </w:r>
      <w:proofErr w:type="spellStart"/>
      <w:r w:rsidRPr="00A206BC">
        <w:rPr>
          <w:rFonts w:asciiTheme="minorHAnsi" w:hAnsiTheme="minorHAnsi" w:cstheme="minorHAnsi"/>
          <w:sz w:val="22"/>
          <w:szCs w:val="22"/>
        </w:rPr>
        <w:t>WakedI</w:t>
      </w:r>
      <w:proofErr w:type="spellEnd"/>
      <w:r w:rsidRPr="00A206BC">
        <w:rPr>
          <w:rFonts w:asciiTheme="minorHAnsi" w:hAnsiTheme="minorHAnsi" w:cstheme="minorHAnsi"/>
          <w:sz w:val="22"/>
          <w:szCs w:val="22"/>
        </w:rPr>
        <w:t xml:space="preserve">, </w:t>
      </w:r>
      <w:proofErr w:type="spellStart"/>
      <w:r w:rsidRPr="00A206BC">
        <w:rPr>
          <w:rFonts w:asciiTheme="minorHAnsi" w:hAnsiTheme="minorHAnsi" w:cstheme="minorHAnsi"/>
          <w:sz w:val="22"/>
          <w:szCs w:val="22"/>
        </w:rPr>
        <w:t>Sarrazin</w:t>
      </w:r>
      <w:proofErr w:type="spellEnd"/>
      <w:r w:rsidRPr="00A206BC">
        <w:rPr>
          <w:rFonts w:asciiTheme="minorHAnsi" w:hAnsiTheme="minorHAnsi" w:cstheme="minorHAnsi"/>
          <w:sz w:val="22"/>
          <w:szCs w:val="22"/>
        </w:rPr>
        <w:t xml:space="preserve"> </w:t>
      </w:r>
      <w:proofErr w:type="spellStart"/>
      <w:r w:rsidRPr="00A206BC">
        <w:rPr>
          <w:rFonts w:asciiTheme="minorHAnsi" w:hAnsiTheme="minorHAnsi" w:cstheme="minorHAnsi"/>
          <w:sz w:val="22"/>
          <w:szCs w:val="22"/>
        </w:rPr>
        <w:t>C</w:t>
      </w:r>
      <w:r w:rsidRPr="00A206BC">
        <w:rPr>
          <w:rFonts w:asciiTheme="minorHAnsi" w:hAnsiTheme="minorHAnsi" w:cstheme="minorHAnsi"/>
          <w:i/>
          <w:iCs/>
          <w:sz w:val="22"/>
          <w:szCs w:val="22"/>
        </w:rPr>
        <w:t>et</w:t>
      </w:r>
      <w:proofErr w:type="spellEnd"/>
      <w:r w:rsidRPr="00A206BC">
        <w:rPr>
          <w:rFonts w:asciiTheme="minorHAnsi" w:hAnsiTheme="minorHAnsi" w:cstheme="minorHAnsi"/>
          <w:i/>
          <w:iCs/>
          <w:sz w:val="22"/>
          <w:szCs w:val="22"/>
        </w:rPr>
        <w:t xml:space="preserve"> al. </w:t>
      </w:r>
      <w:r w:rsidRPr="00A206BC">
        <w:rPr>
          <w:rFonts w:asciiTheme="minorHAnsi" w:hAnsiTheme="minorHAnsi" w:cstheme="minorHAnsi"/>
          <w:sz w:val="22"/>
          <w:szCs w:val="22"/>
        </w:rPr>
        <w:t>The present and future disease burden of hepatitis C</w:t>
      </w:r>
      <w:r w:rsidR="002D40FA">
        <w:rPr>
          <w:rFonts w:asciiTheme="minorHAnsi" w:hAnsiTheme="minorHAnsi" w:cstheme="minorHAnsi"/>
          <w:sz w:val="22"/>
          <w:szCs w:val="22"/>
        </w:rPr>
        <w:t xml:space="preserve"> </w:t>
      </w:r>
      <w:r w:rsidRPr="00A206BC">
        <w:rPr>
          <w:rFonts w:asciiTheme="minorHAnsi" w:hAnsiTheme="minorHAnsi" w:cstheme="minorHAnsi"/>
          <w:sz w:val="22"/>
          <w:szCs w:val="22"/>
        </w:rPr>
        <w:t xml:space="preserve">virus (HCV) infection with today’s treatment paradigm. </w:t>
      </w:r>
      <w:r w:rsidRPr="00A206BC">
        <w:rPr>
          <w:rFonts w:asciiTheme="minorHAnsi" w:hAnsiTheme="minorHAnsi" w:cstheme="minorHAnsi"/>
          <w:i/>
          <w:iCs/>
          <w:sz w:val="22"/>
          <w:szCs w:val="22"/>
        </w:rPr>
        <w:t xml:space="preserve">J Viral </w:t>
      </w:r>
      <w:proofErr w:type="spellStart"/>
      <w:r w:rsidRPr="00A206BC">
        <w:rPr>
          <w:rFonts w:asciiTheme="minorHAnsi" w:hAnsiTheme="minorHAnsi" w:cstheme="minorHAnsi"/>
          <w:i/>
          <w:iCs/>
          <w:sz w:val="22"/>
          <w:szCs w:val="22"/>
        </w:rPr>
        <w:t>Hepat</w:t>
      </w:r>
      <w:proofErr w:type="spellEnd"/>
      <w:r w:rsidRPr="00A206BC">
        <w:rPr>
          <w:rFonts w:asciiTheme="minorHAnsi" w:hAnsiTheme="minorHAnsi" w:cstheme="minorHAnsi"/>
          <w:i/>
          <w:iCs/>
          <w:sz w:val="22"/>
          <w:szCs w:val="22"/>
        </w:rPr>
        <w:t xml:space="preserve"> </w:t>
      </w:r>
      <w:r w:rsidRPr="00A206BC">
        <w:rPr>
          <w:rFonts w:asciiTheme="minorHAnsi" w:hAnsiTheme="minorHAnsi" w:cstheme="minorHAnsi"/>
          <w:sz w:val="22"/>
          <w:szCs w:val="22"/>
        </w:rPr>
        <w:t xml:space="preserve">2014; </w:t>
      </w:r>
      <w:r w:rsidRPr="00A206BC">
        <w:rPr>
          <w:rFonts w:asciiTheme="minorHAnsi" w:hAnsiTheme="minorHAnsi" w:cstheme="minorHAnsi"/>
          <w:b/>
          <w:bCs/>
          <w:sz w:val="22"/>
          <w:szCs w:val="22"/>
        </w:rPr>
        <w:t xml:space="preserve">21 </w:t>
      </w:r>
      <w:r w:rsidRPr="00A206BC">
        <w:rPr>
          <w:rFonts w:asciiTheme="minorHAnsi" w:hAnsiTheme="minorHAnsi" w:cstheme="minorHAnsi"/>
          <w:sz w:val="22"/>
          <w:szCs w:val="22"/>
        </w:rPr>
        <w:t>(</w:t>
      </w:r>
      <w:r w:rsidRPr="00A206BC">
        <w:rPr>
          <w:rFonts w:asciiTheme="minorHAnsi" w:hAnsiTheme="minorHAnsi" w:cstheme="minorHAnsi"/>
          <w:b/>
          <w:bCs/>
          <w:sz w:val="22"/>
          <w:szCs w:val="22"/>
        </w:rPr>
        <w:t>s1</w:t>
      </w:r>
      <w:r w:rsidRPr="00A206BC">
        <w:rPr>
          <w:rFonts w:asciiTheme="minorHAnsi" w:hAnsiTheme="minorHAnsi" w:cstheme="minorHAnsi"/>
          <w:sz w:val="22"/>
          <w:szCs w:val="22"/>
        </w:rPr>
        <w:t>): 34–59.</w:t>
      </w:r>
    </w:p>
    <w:p w14:paraId="1315A30B" w14:textId="026965D0" w:rsidR="00AD0B45" w:rsidRDefault="00AD0B45" w:rsidP="00AD0B45">
      <w:pPr>
        <w:spacing w:line="480" w:lineRule="auto"/>
        <w:rPr>
          <w:rFonts w:asciiTheme="minorHAnsi" w:hAnsiTheme="minorHAnsi" w:cstheme="minorHAnsi"/>
          <w:sz w:val="22"/>
          <w:szCs w:val="22"/>
        </w:rPr>
      </w:pPr>
      <w:r w:rsidRPr="00A206BC">
        <w:rPr>
          <w:rFonts w:asciiTheme="minorHAnsi" w:hAnsiTheme="minorHAnsi" w:cstheme="minorHAnsi"/>
          <w:sz w:val="22"/>
          <w:szCs w:val="22"/>
        </w:rPr>
        <w:t xml:space="preserve">[2] Harris RJ, Thomas B, Griffiths J </w:t>
      </w:r>
      <w:r w:rsidRPr="00A206BC">
        <w:rPr>
          <w:rFonts w:asciiTheme="minorHAnsi" w:hAnsiTheme="minorHAnsi" w:cstheme="minorHAnsi"/>
          <w:i/>
          <w:iCs/>
          <w:sz w:val="22"/>
          <w:szCs w:val="22"/>
        </w:rPr>
        <w:t xml:space="preserve">et al. </w:t>
      </w:r>
      <w:r w:rsidRPr="00A206BC">
        <w:rPr>
          <w:rFonts w:asciiTheme="minorHAnsi" w:hAnsiTheme="minorHAnsi" w:cstheme="minorHAnsi"/>
          <w:sz w:val="22"/>
          <w:szCs w:val="22"/>
        </w:rPr>
        <w:t xml:space="preserve">Increased uptake and new therapies are needed to avert rising hepatitis C-related end stage liver disease in England: modelling the predicted impact of treatment under different scenarios. </w:t>
      </w:r>
      <w:r w:rsidRPr="00A206BC">
        <w:rPr>
          <w:rFonts w:asciiTheme="minorHAnsi" w:hAnsiTheme="minorHAnsi" w:cstheme="minorHAnsi"/>
          <w:i/>
          <w:iCs/>
          <w:sz w:val="22"/>
          <w:szCs w:val="22"/>
        </w:rPr>
        <w:t xml:space="preserve">J </w:t>
      </w:r>
      <w:proofErr w:type="spellStart"/>
      <w:r w:rsidRPr="00A206BC">
        <w:rPr>
          <w:rFonts w:asciiTheme="minorHAnsi" w:hAnsiTheme="minorHAnsi" w:cstheme="minorHAnsi"/>
          <w:i/>
          <w:iCs/>
          <w:sz w:val="22"/>
          <w:szCs w:val="22"/>
        </w:rPr>
        <w:t>Hepatol</w:t>
      </w:r>
      <w:proofErr w:type="spellEnd"/>
      <w:r w:rsidRPr="00A206BC">
        <w:rPr>
          <w:rFonts w:asciiTheme="minorHAnsi" w:hAnsiTheme="minorHAnsi" w:cstheme="minorHAnsi"/>
          <w:i/>
          <w:iCs/>
          <w:sz w:val="22"/>
          <w:szCs w:val="22"/>
        </w:rPr>
        <w:t xml:space="preserve"> </w:t>
      </w:r>
      <w:r w:rsidRPr="00A206BC">
        <w:rPr>
          <w:rFonts w:asciiTheme="minorHAnsi" w:hAnsiTheme="minorHAnsi" w:cstheme="minorHAnsi"/>
          <w:sz w:val="22"/>
          <w:szCs w:val="22"/>
        </w:rPr>
        <w:t xml:space="preserve">2014; </w:t>
      </w:r>
      <w:r w:rsidRPr="00A206BC">
        <w:rPr>
          <w:rFonts w:asciiTheme="minorHAnsi" w:hAnsiTheme="minorHAnsi" w:cstheme="minorHAnsi"/>
          <w:b/>
          <w:bCs/>
          <w:sz w:val="22"/>
          <w:szCs w:val="22"/>
        </w:rPr>
        <w:t>61</w:t>
      </w:r>
      <w:r w:rsidRPr="00A206BC">
        <w:rPr>
          <w:rFonts w:asciiTheme="minorHAnsi" w:hAnsiTheme="minorHAnsi" w:cstheme="minorHAnsi"/>
          <w:sz w:val="22"/>
          <w:szCs w:val="22"/>
        </w:rPr>
        <w:t>: 530–537.</w:t>
      </w:r>
    </w:p>
    <w:p w14:paraId="20739E6D" w14:textId="00FE2D7C" w:rsidR="00451145" w:rsidRDefault="00451145" w:rsidP="00AD0B45">
      <w:pPr>
        <w:spacing w:line="480" w:lineRule="auto"/>
        <w:rPr>
          <w:rFonts w:ascii="Calibri" w:hAnsi="Calibri"/>
          <w:noProof/>
          <w:sz w:val="22"/>
        </w:rPr>
      </w:pPr>
      <w:r>
        <w:rPr>
          <w:rFonts w:asciiTheme="minorHAnsi" w:hAnsiTheme="minorHAnsi" w:cstheme="minorHAnsi"/>
          <w:sz w:val="22"/>
          <w:szCs w:val="22"/>
        </w:rPr>
        <w:t xml:space="preserve">[3] </w:t>
      </w:r>
      <w:proofErr w:type="spellStart"/>
      <w:r w:rsidRPr="00451145">
        <w:rPr>
          <w:rFonts w:asciiTheme="minorHAnsi" w:hAnsiTheme="minorHAnsi" w:cstheme="minorHAnsi"/>
          <w:sz w:val="22"/>
          <w:szCs w:val="22"/>
        </w:rPr>
        <w:t>Gamkrelidze</w:t>
      </w:r>
      <w:proofErr w:type="spellEnd"/>
      <w:r>
        <w:rPr>
          <w:rFonts w:asciiTheme="minorHAnsi" w:hAnsiTheme="minorHAnsi" w:cstheme="minorHAnsi"/>
          <w:sz w:val="22"/>
          <w:szCs w:val="22"/>
        </w:rPr>
        <w:t xml:space="preserve"> A</w:t>
      </w:r>
      <w:r w:rsidRPr="00451145">
        <w:rPr>
          <w:rFonts w:asciiTheme="minorHAnsi" w:hAnsiTheme="minorHAnsi" w:cstheme="minorHAnsi"/>
          <w:sz w:val="22"/>
          <w:szCs w:val="22"/>
        </w:rPr>
        <w:t xml:space="preserve">, </w:t>
      </w:r>
      <w:proofErr w:type="spellStart"/>
      <w:r w:rsidRPr="00451145">
        <w:rPr>
          <w:rFonts w:asciiTheme="minorHAnsi" w:hAnsiTheme="minorHAnsi" w:cstheme="minorHAnsi"/>
          <w:sz w:val="22"/>
          <w:szCs w:val="22"/>
        </w:rPr>
        <w:t>Turdziladze</w:t>
      </w:r>
      <w:proofErr w:type="spellEnd"/>
      <w:r>
        <w:rPr>
          <w:rFonts w:asciiTheme="minorHAnsi" w:hAnsiTheme="minorHAnsi" w:cstheme="minorHAnsi"/>
          <w:sz w:val="22"/>
          <w:szCs w:val="22"/>
        </w:rPr>
        <w:t xml:space="preserve"> A</w:t>
      </w:r>
      <w:r w:rsidRPr="00451145">
        <w:rPr>
          <w:rFonts w:asciiTheme="minorHAnsi" w:hAnsiTheme="minorHAnsi" w:cstheme="minorHAnsi"/>
          <w:sz w:val="22"/>
          <w:szCs w:val="22"/>
        </w:rPr>
        <w:t xml:space="preserve">, </w:t>
      </w:r>
      <w:proofErr w:type="spellStart"/>
      <w:r w:rsidRPr="00451145">
        <w:rPr>
          <w:rFonts w:asciiTheme="minorHAnsi" w:hAnsiTheme="minorHAnsi" w:cstheme="minorHAnsi"/>
          <w:sz w:val="22"/>
          <w:szCs w:val="22"/>
        </w:rPr>
        <w:t>Getia</w:t>
      </w:r>
      <w:proofErr w:type="spellEnd"/>
      <w:r>
        <w:rPr>
          <w:rFonts w:asciiTheme="minorHAnsi" w:hAnsiTheme="minorHAnsi" w:cstheme="minorHAnsi"/>
          <w:sz w:val="22"/>
          <w:szCs w:val="22"/>
        </w:rPr>
        <w:t xml:space="preserve"> V</w:t>
      </w:r>
      <w:r w:rsidRPr="00451145">
        <w:rPr>
          <w:rFonts w:asciiTheme="minorHAnsi" w:hAnsiTheme="minorHAnsi" w:cstheme="minorHAnsi"/>
          <w:sz w:val="22"/>
          <w:szCs w:val="22"/>
        </w:rPr>
        <w:t xml:space="preserve">, </w:t>
      </w:r>
      <w:proofErr w:type="spellStart"/>
      <w:r w:rsidRPr="00451145">
        <w:rPr>
          <w:rFonts w:asciiTheme="minorHAnsi" w:hAnsiTheme="minorHAnsi" w:cstheme="minorHAnsi"/>
          <w:sz w:val="22"/>
          <w:szCs w:val="22"/>
        </w:rPr>
        <w:t>Alkhazashvili</w:t>
      </w:r>
      <w:proofErr w:type="spellEnd"/>
      <w:r>
        <w:rPr>
          <w:rFonts w:asciiTheme="minorHAnsi" w:hAnsiTheme="minorHAnsi" w:cstheme="minorHAnsi"/>
          <w:sz w:val="22"/>
          <w:szCs w:val="22"/>
        </w:rPr>
        <w:t xml:space="preserve"> M</w:t>
      </w:r>
      <w:r w:rsidRPr="00451145">
        <w:rPr>
          <w:rFonts w:asciiTheme="minorHAnsi" w:hAnsiTheme="minorHAnsi" w:cstheme="minorHAnsi"/>
          <w:sz w:val="22"/>
          <w:szCs w:val="22"/>
        </w:rPr>
        <w:t xml:space="preserve">, </w:t>
      </w:r>
      <w:proofErr w:type="spellStart"/>
      <w:r w:rsidRPr="00451145">
        <w:rPr>
          <w:rFonts w:asciiTheme="minorHAnsi" w:hAnsiTheme="minorHAnsi" w:cstheme="minorHAnsi"/>
          <w:sz w:val="22"/>
          <w:szCs w:val="22"/>
        </w:rPr>
        <w:t>Tsereteli</w:t>
      </w:r>
      <w:proofErr w:type="spellEnd"/>
      <w:r>
        <w:rPr>
          <w:rFonts w:asciiTheme="minorHAnsi" w:hAnsiTheme="minorHAnsi" w:cstheme="minorHAnsi"/>
          <w:sz w:val="22"/>
          <w:szCs w:val="22"/>
        </w:rPr>
        <w:t xml:space="preserve"> M</w:t>
      </w:r>
      <w:r w:rsidRPr="00451145">
        <w:rPr>
          <w:rFonts w:asciiTheme="minorHAnsi" w:hAnsiTheme="minorHAnsi" w:cstheme="minorHAnsi"/>
          <w:sz w:val="22"/>
          <w:szCs w:val="22"/>
        </w:rPr>
        <w:t xml:space="preserve">, </w:t>
      </w:r>
      <w:proofErr w:type="spellStart"/>
      <w:r w:rsidRPr="00451145">
        <w:rPr>
          <w:rFonts w:asciiTheme="minorHAnsi" w:hAnsiTheme="minorHAnsi" w:cstheme="minorHAnsi"/>
          <w:sz w:val="22"/>
          <w:szCs w:val="22"/>
        </w:rPr>
        <w:t>Aslanikashvili</w:t>
      </w:r>
      <w:proofErr w:type="spellEnd"/>
      <w:r>
        <w:rPr>
          <w:rFonts w:asciiTheme="minorHAnsi" w:hAnsiTheme="minorHAnsi" w:cstheme="minorHAnsi"/>
          <w:sz w:val="22"/>
          <w:szCs w:val="22"/>
        </w:rPr>
        <w:t xml:space="preserve"> A</w:t>
      </w:r>
      <w:r w:rsidRPr="00451145">
        <w:rPr>
          <w:rFonts w:asciiTheme="minorHAnsi" w:hAnsiTheme="minorHAnsi" w:cstheme="minorHAnsi"/>
          <w:sz w:val="22"/>
          <w:szCs w:val="22"/>
        </w:rPr>
        <w:t xml:space="preserve">, </w:t>
      </w:r>
      <w:proofErr w:type="spellStart"/>
      <w:r w:rsidRPr="00451145">
        <w:rPr>
          <w:rFonts w:asciiTheme="minorHAnsi" w:hAnsiTheme="minorHAnsi" w:cstheme="minorHAnsi"/>
          <w:sz w:val="22"/>
          <w:szCs w:val="22"/>
        </w:rPr>
        <w:t>Baliashvili</w:t>
      </w:r>
      <w:proofErr w:type="spellEnd"/>
      <w:r>
        <w:rPr>
          <w:rFonts w:asciiTheme="minorHAnsi" w:hAnsiTheme="minorHAnsi" w:cstheme="minorHAnsi"/>
          <w:sz w:val="22"/>
          <w:szCs w:val="22"/>
        </w:rPr>
        <w:t xml:space="preserve"> D</w:t>
      </w:r>
      <w:r w:rsidRPr="00451145">
        <w:rPr>
          <w:rFonts w:asciiTheme="minorHAnsi" w:hAnsiTheme="minorHAnsi" w:cstheme="minorHAnsi"/>
          <w:sz w:val="22"/>
          <w:szCs w:val="22"/>
        </w:rPr>
        <w:t xml:space="preserve">, </w:t>
      </w:r>
      <w:proofErr w:type="spellStart"/>
      <w:r w:rsidRPr="00451145">
        <w:rPr>
          <w:rFonts w:asciiTheme="minorHAnsi" w:hAnsiTheme="minorHAnsi" w:cstheme="minorHAnsi"/>
          <w:sz w:val="22"/>
          <w:szCs w:val="22"/>
        </w:rPr>
        <w:t>Imnadze</w:t>
      </w:r>
      <w:proofErr w:type="spellEnd"/>
      <w:r>
        <w:rPr>
          <w:rFonts w:asciiTheme="minorHAnsi" w:hAnsiTheme="minorHAnsi" w:cstheme="minorHAnsi"/>
          <w:sz w:val="22"/>
          <w:szCs w:val="22"/>
        </w:rPr>
        <w:t xml:space="preserve"> P.</w:t>
      </w:r>
      <w:r w:rsidRPr="00451145">
        <w:rPr>
          <w:rFonts w:ascii="Calibri" w:hAnsi="Calibri"/>
          <w:noProof/>
          <w:sz w:val="22"/>
        </w:rPr>
        <w:t xml:space="preserve"> </w:t>
      </w:r>
      <w:r w:rsidRPr="00512CF6">
        <w:rPr>
          <w:rFonts w:ascii="Calibri" w:hAnsi="Calibri"/>
          <w:noProof/>
          <w:sz w:val="22"/>
        </w:rPr>
        <w:t xml:space="preserve">Hepatitis C screening within the national elimination program in the country of Georgia. </w:t>
      </w:r>
      <w:r w:rsidRPr="00512CF6">
        <w:rPr>
          <w:rFonts w:ascii="Calibri" w:hAnsi="Calibri"/>
          <w:i/>
          <w:iCs/>
          <w:noProof/>
          <w:sz w:val="22"/>
        </w:rPr>
        <w:t>J Hepatol</w:t>
      </w:r>
      <w:r w:rsidRPr="00512CF6">
        <w:rPr>
          <w:rFonts w:ascii="Calibri" w:hAnsi="Calibri"/>
          <w:noProof/>
          <w:sz w:val="22"/>
        </w:rPr>
        <w:t>. 2018;68:S158. doi:10.1016/s0168-8278(18)30528-2</w:t>
      </w:r>
      <w:r w:rsidR="002E0774">
        <w:rPr>
          <w:rFonts w:ascii="Calibri" w:hAnsi="Calibri"/>
          <w:noProof/>
          <w:sz w:val="22"/>
        </w:rPr>
        <w:t>.</w:t>
      </w:r>
    </w:p>
    <w:p w14:paraId="322397B5" w14:textId="6FF8C066" w:rsidR="002E0774" w:rsidRPr="00A206BC" w:rsidRDefault="002E0774" w:rsidP="00AD0B45">
      <w:pPr>
        <w:spacing w:line="480" w:lineRule="auto"/>
        <w:rPr>
          <w:rFonts w:asciiTheme="minorHAnsi" w:hAnsiTheme="minorHAnsi" w:cstheme="minorHAnsi"/>
          <w:sz w:val="22"/>
          <w:szCs w:val="22"/>
        </w:rPr>
      </w:pPr>
      <w:r>
        <w:rPr>
          <w:rFonts w:ascii="Calibri" w:hAnsi="Calibri"/>
          <w:noProof/>
          <w:sz w:val="22"/>
        </w:rPr>
        <w:t xml:space="preserve">[4] </w:t>
      </w:r>
      <w:r w:rsidRPr="0077784C">
        <w:rPr>
          <w:rFonts w:ascii="Calibri" w:hAnsi="Calibri"/>
          <w:noProof/>
          <w:sz w:val="22"/>
          <w:lang w:val="en-GB"/>
        </w:rPr>
        <w:t xml:space="preserve">Deuffic-Burban S, Huneau A, Verleene A, et al. Assessing the cost-effectiveness of hepatitis C screening strategies in France. </w:t>
      </w:r>
      <w:r w:rsidRPr="0077784C">
        <w:rPr>
          <w:rFonts w:ascii="Calibri" w:hAnsi="Calibri"/>
          <w:i/>
          <w:iCs/>
          <w:noProof/>
          <w:sz w:val="22"/>
          <w:lang w:val="en-GB"/>
        </w:rPr>
        <w:t>J Hepatol</w:t>
      </w:r>
      <w:r w:rsidRPr="0077784C">
        <w:rPr>
          <w:rFonts w:ascii="Calibri" w:hAnsi="Calibri"/>
          <w:noProof/>
          <w:sz w:val="22"/>
          <w:lang w:val="en-GB"/>
        </w:rPr>
        <w:t>. 2018;69(4):785-792. doi:10.1016/j.jhep.2018.05.027</w:t>
      </w:r>
    </w:p>
    <w:p w14:paraId="401C9B90" w14:textId="77777777" w:rsidR="00AD0B45" w:rsidRPr="00A1581F" w:rsidRDefault="00AD0B45" w:rsidP="00AD0B45">
      <w:pPr>
        <w:spacing w:line="480" w:lineRule="auto"/>
        <w:rPr>
          <w:rFonts w:asciiTheme="minorHAnsi" w:hAnsiTheme="minorHAnsi" w:cstheme="minorHAnsi"/>
        </w:rPr>
      </w:pPr>
    </w:p>
    <w:p w14:paraId="787AF98E" w14:textId="77777777" w:rsidR="00AD0B45" w:rsidRDefault="00AD0B45"/>
    <w:sectPr w:rsidR="00AD0B45" w:rsidSect="00AD0B45">
      <w:footerReference w:type="even" r:id="rId16"/>
      <w:footerReference w:type="default" r:id="rId17"/>
      <w:pgSz w:w="12240" w:h="15840"/>
      <w:pgMar w:top="1483" w:right="1714" w:bottom="806" w:left="1714" w:header="0" w:footer="187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6DD1E" w14:textId="77777777" w:rsidR="00163E4A" w:rsidRDefault="00163E4A">
      <w:r>
        <w:separator/>
      </w:r>
    </w:p>
  </w:endnote>
  <w:endnote w:type="continuationSeparator" w:id="0">
    <w:p w14:paraId="456224F4" w14:textId="77777777" w:rsidR="00163E4A" w:rsidRDefault="00163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35871122"/>
      <w:docPartObj>
        <w:docPartGallery w:val="Page Numbers (Bottom of Page)"/>
        <w:docPartUnique/>
      </w:docPartObj>
    </w:sdtPr>
    <w:sdtEndPr>
      <w:rPr>
        <w:rStyle w:val="PageNumber"/>
      </w:rPr>
    </w:sdtEndPr>
    <w:sdtContent>
      <w:p w14:paraId="75984D15" w14:textId="0C57B5C1" w:rsidR="00361BEF" w:rsidRDefault="00361BEF" w:rsidP="00D712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95BD9E" w14:textId="77777777" w:rsidR="00361BEF" w:rsidRDefault="00361BEF" w:rsidP="00361B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46495161"/>
      <w:docPartObj>
        <w:docPartGallery w:val="Page Numbers (Bottom of Page)"/>
        <w:docPartUnique/>
      </w:docPartObj>
    </w:sdtPr>
    <w:sdtEndPr>
      <w:rPr>
        <w:rStyle w:val="PageNumber"/>
      </w:rPr>
    </w:sdtEndPr>
    <w:sdtContent>
      <w:p w14:paraId="1880C28E" w14:textId="56BD2EEE" w:rsidR="00361BEF" w:rsidRDefault="00361BEF" w:rsidP="00D712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978A4">
          <w:rPr>
            <w:rStyle w:val="PageNumber"/>
            <w:noProof/>
          </w:rPr>
          <w:t>11</w:t>
        </w:r>
        <w:r>
          <w:rPr>
            <w:rStyle w:val="PageNumber"/>
          </w:rPr>
          <w:fldChar w:fldCharType="end"/>
        </w:r>
      </w:p>
    </w:sdtContent>
  </w:sdt>
  <w:p w14:paraId="5AB7D65B" w14:textId="4542359C" w:rsidR="00C3372B" w:rsidRDefault="00163E4A" w:rsidP="00361BEF">
    <w:pPr>
      <w:spacing w:line="180" w:lineRule="exact"/>
      <w:ind w:right="360"/>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24170" w14:textId="77777777" w:rsidR="00163E4A" w:rsidRDefault="00163E4A">
      <w:r>
        <w:separator/>
      </w:r>
    </w:p>
  </w:footnote>
  <w:footnote w:type="continuationSeparator" w:id="0">
    <w:p w14:paraId="20C45460" w14:textId="77777777" w:rsidR="00163E4A" w:rsidRDefault="00163E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B45"/>
    <w:rsid w:val="0002014F"/>
    <w:rsid w:val="000315D6"/>
    <w:rsid w:val="0003594F"/>
    <w:rsid w:val="00041FF9"/>
    <w:rsid w:val="00047257"/>
    <w:rsid w:val="000918BE"/>
    <w:rsid w:val="000E020A"/>
    <w:rsid w:val="000F6F81"/>
    <w:rsid w:val="0015277F"/>
    <w:rsid w:val="00163E4A"/>
    <w:rsid w:val="001858DC"/>
    <w:rsid w:val="00196D87"/>
    <w:rsid w:val="001B031B"/>
    <w:rsid w:val="001B6FB0"/>
    <w:rsid w:val="001D0980"/>
    <w:rsid w:val="001E193F"/>
    <w:rsid w:val="0020077E"/>
    <w:rsid w:val="002339D1"/>
    <w:rsid w:val="0024375A"/>
    <w:rsid w:val="00265ED0"/>
    <w:rsid w:val="00283761"/>
    <w:rsid w:val="002D40FA"/>
    <w:rsid w:val="002E0774"/>
    <w:rsid w:val="003070E4"/>
    <w:rsid w:val="00310EDE"/>
    <w:rsid w:val="00327839"/>
    <w:rsid w:val="00361BEF"/>
    <w:rsid w:val="003A644A"/>
    <w:rsid w:val="003D5969"/>
    <w:rsid w:val="00423750"/>
    <w:rsid w:val="004418C7"/>
    <w:rsid w:val="00451145"/>
    <w:rsid w:val="004809E0"/>
    <w:rsid w:val="004A24D2"/>
    <w:rsid w:val="004E4947"/>
    <w:rsid w:val="004F6284"/>
    <w:rsid w:val="0050634A"/>
    <w:rsid w:val="00515700"/>
    <w:rsid w:val="00522824"/>
    <w:rsid w:val="005324C2"/>
    <w:rsid w:val="005437BA"/>
    <w:rsid w:val="00553CE5"/>
    <w:rsid w:val="00571CBA"/>
    <w:rsid w:val="00586132"/>
    <w:rsid w:val="005E40D9"/>
    <w:rsid w:val="00631FD4"/>
    <w:rsid w:val="00643537"/>
    <w:rsid w:val="00653149"/>
    <w:rsid w:val="00661601"/>
    <w:rsid w:val="006A4C2F"/>
    <w:rsid w:val="006E748D"/>
    <w:rsid w:val="006F6E17"/>
    <w:rsid w:val="007656E6"/>
    <w:rsid w:val="007D34A3"/>
    <w:rsid w:val="007F78DD"/>
    <w:rsid w:val="00832135"/>
    <w:rsid w:val="00862832"/>
    <w:rsid w:val="008847E4"/>
    <w:rsid w:val="008B5460"/>
    <w:rsid w:val="008D6A7A"/>
    <w:rsid w:val="008F32E5"/>
    <w:rsid w:val="00911758"/>
    <w:rsid w:val="00926B6A"/>
    <w:rsid w:val="0094046E"/>
    <w:rsid w:val="0098291F"/>
    <w:rsid w:val="00984D75"/>
    <w:rsid w:val="00A003A4"/>
    <w:rsid w:val="00A00A8F"/>
    <w:rsid w:val="00A40159"/>
    <w:rsid w:val="00A62D94"/>
    <w:rsid w:val="00AB7EB5"/>
    <w:rsid w:val="00AD0B45"/>
    <w:rsid w:val="00AE2C2E"/>
    <w:rsid w:val="00B10DD7"/>
    <w:rsid w:val="00B2324C"/>
    <w:rsid w:val="00B561B1"/>
    <w:rsid w:val="00B6522A"/>
    <w:rsid w:val="00BE6244"/>
    <w:rsid w:val="00C13393"/>
    <w:rsid w:val="00C50A67"/>
    <w:rsid w:val="00C525D7"/>
    <w:rsid w:val="00CA1041"/>
    <w:rsid w:val="00CA72FC"/>
    <w:rsid w:val="00CB51CB"/>
    <w:rsid w:val="00CD1050"/>
    <w:rsid w:val="00CF1356"/>
    <w:rsid w:val="00D0160F"/>
    <w:rsid w:val="00D35778"/>
    <w:rsid w:val="00D978A4"/>
    <w:rsid w:val="00DE4019"/>
    <w:rsid w:val="00E24D21"/>
    <w:rsid w:val="00E82587"/>
    <w:rsid w:val="00E85287"/>
    <w:rsid w:val="00EC3045"/>
    <w:rsid w:val="00EC5DD1"/>
    <w:rsid w:val="00ED0D13"/>
    <w:rsid w:val="00ED613E"/>
    <w:rsid w:val="00EE5C53"/>
    <w:rsid w:val="00F046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F1040"/>
  <w15:chartTrackingRefBased/>
  <w15:docId w15:val="{235D7100-6A7D-794F-BE2D-5299BA130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B45"/>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8B546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D0B45"/>
    <w:pPr>
      <w:spacing w:after="200"/>
    </w:pPr>
    <w:rPr>
      <w:rFonts w:asciiTheme="minorHAnsi" w:eastAsiaTheme="minorHAnsi" w:hAnsiTheme="minorHAnsi" w:cstheme="minorBidi"/>
      <w:i/>
      <w:iCs/>
      <w:color w:val="44546A" w:themeColor="text2"/>
      <w:sz w:val="18"/>
      <w:szCs w:val="18"/>
    </w:rPr>
  </w:style>
  <w:style w:type="character" w:styleId="Hyperlink">
    <w:name w:val="Hyperlink"/>
    <w:basedOn w:val="DefaultParagraphFont"/>
    <w:uiPriority w:val="99"/>
    <w:unhideWhenUsed/>
    <w:rsid w:val="00AD0B45"/>
    <w:rPr>
      <w:color w:val="0563C1" w:themeColor="hyperlink"/>
      <w:u w:val="single"/>
    </w:rPr>
  </w:style>
  <w:style w:type="table" w:styleId="ListTable2-Accent5">
    <w:name w:val="List Table 2 Accent 5"/>
    <w:basedOn w:val="TableNormal"/>
    <w:uiPriority w:val="47"/>
    <w:rsid w:val="00AD0B45"/>
    <w:rPr>
      <w:rFonts w:ascii="Times New Roman" w:eastAsia="Times New Roman" w:hAnsi="Times New Roman" w:cs="Times New Roman"/>
      <w:sz w:val="20"/>
      <w:szCs w:val="20"/>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BalloonText">
    <w:name w:val="Balloon Text"/>
    <w:basedOn w:val="Normal"/>
    <w:link w:val="BalloonTextChar"/>
    <w:uiPriority w:val="99"/>
    <w:semiHidden/>
    <w:unhideWhenUsed/>
    <w:rsid w:val="008B5460"/>
    <w:rPr>
      <w:sz w:val="18"/>
      <w:szCs w:val="18"/>
    </w:rPr>
  </w:style>
  <w:style w:type="character" w:customStyle="1" w:styleId="BalloonTextChar">
    <w:name w:val="Balloon Text Char"/>
    <w:basedOn w:val="DefaultParagraphFont"/>
    <w:link w:val="BalloonText"/>
    <w:uiPriority w:val="99"/>
    <w:semiHidden/>
    <w:rsid w:val="008B5460"/>
    <w:rPr>
      <w:rFonts w:ascii="Times New Roman" w:eastAsia="Times New Roman" w:hAnsi="Times New Roman" w:cs="Times New Roman"/>
      <w:sz w:val="18"/>
      <w:szCs w:val="18"/>
    </w:rPr>
  </w:style>
  <w:style w:type="character" w:customStyle="1" w:styleId="Heading1Char">
    <w:name w:val="Heading 1 Char"/>
    <w:basedOn w:val="DefaultParagraphFont"/>
    <w:link w:val="Heading1"/>
    <w:uiPriority w:val="9"/>
    <w:rsid w:val="008B546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B5460"/>
    <w:pPr>
      <w:spacing w:before="480" w:line="276" w:lineRule="auto"/>
      <w:outlineLvl w:val="9"/>
    </w:pPr>
    <w:rPr>
      <w:b/>
      <w:bCs/>
      <w:sz w:val="28"/>
      <w:szCs w:val="28"/>
    </w:rPr>
  </w:style>
  <w:style w:type="paragraph" w:styleId="TOC1">
    <w:name w:val="toc 1"/>
    <w:basedOn w:val="Normal"/>
    <w:next w:val="Normal"/>
    <w:autoRedefine/>
    <w:uiPriority w:val="39"/>
    <w:unhideWhenUsed/>
    <w:rsid w:val="008B5460"/>
    <w:pPr>
      <w:spacing w:before="120"/>
    </w:pPr>
    <w:rPr>
      <w:rFonts w:asciiTheme="minorHAnsi" w:hAnsiTheme="minorHAnsi" w:cstheme="minorHAnsi"/>
      <w:b/>
      <w:bCs/>
      <w:i/>
      <w:iCs/>
      <w:sz w:val="24"/>
      <w:szCs w:val="28"/>
    </w:rPr>
  </w:style>
  <w:style w:type="paragraph" w:styleId="TOC2">
    <w:name w:val="toc 2"/>
    <w:basedOn w:val="Normal"/>
    <w:next w:val="Normal"/>
    <w:autoRedefine/>
    <w:uiPriority w:val="39"/>
    <w:semiHidden/>
    <w:unhideWhenUsed/>
    <w:rsid w:val="008B5460"/>
    <w:pPr>
      <w:spacing w:before="120"/>
      <w:ind w:left="200"/>
    </w:pPr>
    <w:rPr>
      <w:rFonts w:asciiTheme="minorHAnsi" w:hAnsiTheme="minorHAnsi" w:cstheme="minorHAnsi"/>
      <w:b/>
      <w:bCs/>
      <w:sz w:val="22"/>
      <w:szCs w:val="26"/>
    </w:rPr>
  </w:style>
  <w:style w:type="paragraph" w:styleId="TOC3">
    <w:name w:val="toc 3"/>
    <w:basedOn w:val="Normal"/>
    <w:next w:val="Normal"/>
    <w:autoRedefine/>
    <w:uiPriority w:val="39"/>
    <w:semiHidden/>
    <w:unhideWhenUsed/>
    <w:rsid w:val="008B5460"/>
    <w:pPr>
      <w:ind w:left="400"/>
    </w:pPr>
    <w:rPr>
      <w:rFonts w:asciiTheme="minorHAnsi" w:hAnsiTheme="minorHAnsi" w:cstheme="minorHAnsi"/>
      <w:szCs w:val="24"/>
    </w:rPr>
  </w:style>
  <w:style w:type="paragraph" w:styleId="TOC4">
    <w:name w:val="toc 4"/>
    <w:basedOn w:val="Normal"/>
    <w:next w:val="Normal"/>
    <w:autoRedefine/>
    <w:uiPriority w:val="39"/>
    <w:semiHidden/>
    <w:unhideWhenUsed/>
    <w:rsid w:val="008B5460"/>
    <w:pPr>
      <w:ind w:left="600"/>
    </w:pPr>
    <w:rPr>
      <w:rFonts w:asciiTheme="minorHAnsi" w:hAnsiTheme="minorHAnsi" w:cstheme="minorHAnsi"/>
      <w:szCs w:val="24"/>
    </w:rPr>
  </w:style>
  <w:style w:type="paragraph" w:styleId="TOC5">
    <w:name w:val="toc 5"/>
    <w:basedOn w:val="Normal"/>
    <w:next w:val="Normal"/>
    <w:autoRedefine/>
    <w:uiPriority w:val="39"/>
    <w:semiHidden/>
    <w:unhideWhenUsed/>
    <w:rsid w:val="008B5460"/>
    <w:pPr>
      <w:ind w:left="800"/>
    </w:pPr>
    <w:rPr>
      <w:rFonts w:asciiTheme="minorHAnsi" w:hAnsiTheme="minorHAnsi" w:cstheme="minorHAnsi"/>
      <w:szCs w:val="24"/>
    </w:rPr>
  </w:style>
  <w:style w:type="paragraph" w:styleId="TOC6">
    <w:name w:val="toc 6"/>
    <w:basedOn w:val="Normal"/>
    <w:next w:val="Normal"/>
    <w:autoRedefine/>
    <w:uiPriority w:val="39"/>
    <w:semiHidden/>
    <w:unhideWhenUsed/>
    <w:rsid w:val="008B5460"/>
    <w:pPr>
      <w:ind w:left="1000"/>
    </w:pPr>
    <w:rPr>
      <w:rFonts w:asciiTheme="minorHAnsi" w:hAnsiTheme="minorHAnsi" w:cstheme="minorHAnsi"/>
      <w:szCs w:val="24"/>
    </w:rPr>
  </w:style>
  <w:style w:type="paragraph" w:styleId="TOC7">
    <w:name w:val="toc 7"/>
    <w:basedOn w:val="Normal"/>
    <w:next w:val="Normal"/>
    <w:autoRedefine/>
    <w:uiPriority w:val="39"/>
    <w:semiHidden/>
    <w:unhideWhenUsed/>
    <w:rsid w:val="008B5460"/>
    <w:pPr>
      <w:ind w:left="1200"/>
    </w:pPr>
    <w:rPr>
      <w:rFonts w:asciiTheme="minorHAnsi" w:hAnsiTheme="minorHAnsi" w:cstheme="minorHAnsi"/>
      <w:szCs w:val="24"/>
    </w:rPr>
  </w:style>
  <w:style w:type="paragraph" w:styleId="TOC8">
    <w:name w:val="toc 8"/>
    <w:basedOn w:val="Normal"/>
    <w:next w:val="Normal"/>
    <w:autoRedefine/>
    <w:uiPriority w:val="39"/>
    <w:semiHidden/>
    <w:unhideWhenUsed/>
    <w:rsid w:val="008B5460"/>
    <w:pPr>
      <w:ind w:left="1400"/>
    </w:pPr>
    <w:rPr>
      <w:rFonts w:asciiTheme="minorHAnsi" w:hAnsiTheme="minorHAnsi" w:cstheme="minorHAnsi"/>
      <w:szCs w:val="24"/>
    </w:rPr>
  </w:style>
  <w:style w:type="paragraph" w:styleId="TOC9">
    <w:name w:val="toc 9"/>
    <w:basedOn w:val="Normal"/>
    <w:next w:val="Normal"/>
    <w:autoRedefine/>
    <w:uiPriority w:val="39"/>
    <w:semiHidden/>
    <w:unhideWhenUsed/>
    <w:rsid w:val="008B5460"/>
    <w:pPr>
      <w:ind w:left="1600"/>
    </w:pPr>
    <w:rPr>
      <w:rFonts w:asciiTheme="minorHAnsi" w:hAnsiTheme="minorHAnsi" w:cstheme="minorHAnsi"/>
      <w:szCs w:val="24"/>
    </w:rPr>
  </w:style>
  <w:style w:type="character" w:customStyle="1" w:styleId="UnresolvedMention1">
    <w:name w:val="Unresolved Mention1"/>
    <w:basedOn w:val="DefaultParagraphFont"/>
    <w:uiPriority w:val="99"/>
    <w:semiHidden/>
    <w:unhideWhenUsed/>
    <w:rsid w:val="00196D87"/>
    <w:rPr>
      <w:color w:val="605E5C"/>
      <w:shd w:val="clear" w:color="auto" w:fill="E1DFDD"/>
    </w:rPr>
  </w:style>
  <w:style w:type="paragraph" w:styleId="Footer">
    <w:name w:val="footer"/>
    <w:basedOn w:val="Normal"/>
    <w:link w:val="FooterChar"/>
    <w:uiPriority w:val="99"/>
    <w:unhideWhenUsed/>
    <w:rsid w:val="00361BEF"/>
    <w:pPr>
      <w:tabs>
        <w:tab w:val="center" w:pos="4680"/>
        <w:tab w:val="right" w:pos="9360"/>
      </w:tabs>
    </w:pPr>
  </w:style>
  <w:style w:type="character" w:customStyle="1" w:styleId="FooterChar">
    <w:name w:val="Footer Char"/>
    <w:basedOn w:val="DefaultParagraphFont"/>
    <w:link w:val="Footer"/>
    <w:uiPriority w:val="99"/>
    <w:rsid w:val="00361BEF"/>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361BEF"/>
  </w:style>
  <w:style w:type="paragraph" w:styleId="Header">
    <w:name w:val="header"/>
    <w:basedOn w:val="Normal"/>
    <w:link w:val="HeaderChar"/>
    <w:uiPriority w:val="99"/>
    <w:unhideWhenUsed/>
    <w:rsid w:val="00361BEF"/>
    <w:pPr>
      <w:tabs>
        <w:tab w:val="center" w:pos="4680"/>
        <w:tab w:val="right" w:pos="9360"/>
      </w:tabs>
    </w:pPr>
  </w:style>
  <w:style w:type="character" w:customStyle="1" w:styleId="HeaderChar">
    <w:name w:val="Header Char"/>
    <w:basedOn w:val="DefaultParagraphFont"/>
    <w:link w:val="Header"/>
    <w:uiPriority w:val="99"/>
    <w:rsid w:val="00361BEF"/>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4E4947"/>
    <w:rPr>
      <w:sz w:val="16"/>
      <w:szCs w:val="16"/>
    </w:rPr>
  </w:style>
  <w:style w:type="paragraph" w:styleId="CommentText">
    <w:name w:val="annotation text"/>
    <w:basedOn w:val="Normal"/>
    <w:link w:val="CommentTextChar"/>
    <w:uiPriority w:val="99"/>
    <w:semiHidden/>
    <w:unhideWhenUsed/>
    <w:rsid w:val="004E4947"/>
  </w:style>
  <w:style w:type="character" w:customStyle="1" w:styleId="CommentTextChar">
    <w:name w:val="Comment Text Char"/>
    <w:basedOn w:val="DefaultParagraphFont"/>
    <w:link w:val="CommentText"/>
    <w:uiPriority w:val="99"/>
    <w:semiHidden/>
    <w:rsid w:val="004E494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4947"/>
    <w:rPr>
      <w:b/>
      <w:bCs/>
    </w:rPr>
  </w:style>
  <w:style w:type="character" w:customStyle="1" w:styleId="CommentSubjectChar">
    <w:name w:val="Comment Subject Char"/>
    <w:basedOn w:val="CommentTextChar"/>
    <w:link w:val="CommentSubject"/>
    <w:uiPriority w:val="99"/>
    <w:semiHidden/>
    <w:rsid w:val="004E494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239173">
      <w:bodyDiv w:val="1"/>
      <w:marLeft w:val="0"/>
      <w:marRight w:val="0"/>
      <w:marTop w:val="0"/>
      <w:marBottom w:val="0"/>
      <w:divBdr>
        <w:top w:val="none" w:sz="0" w:space="0" w:color="auto"/>
        <w:left w:val="none" w:sz="0" w:space="0" w:color="auto"/>
        <w:bottom w:val="none" w:sz="0" w:space="0" w:color="auto"/>
        <w:right w:val="none" w:sz="0" w:space="0" w:color="auto"/>
      </w:divBdr>
    </w:div>
    <w:div w:id="1208490750">
      <w:bodyDiv w:val="1"/>
      <w:marLeft w:val="0"/>
      <w:marRight w:val="0"/>
      <w:marTop w:val="0"/>
      <w:marBottom w:val="0"/>
      <w:divBdr>
        <w:top w:val="none" w:sz="0" w:space="0" w:color="auto"/>
        <w:left w:val="none" w:sz="0" w:space="0" w:color="auto"/>
        <w:bottom w:val="none" w:sz="0" w:space="0" w:color="auto"/>
        <w:right w:val="none" w:sz="0" w:space="0" w:color="auto"/>
      </w:divBdr>
    </w:div>
    <w:div w:id="196438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E0786-7991-7C47-A0F1-71581653F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11</Pages>
  <Words>934</Words>
  <Characters>5328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Sadeghimehr</dc:creator>
  <cp:keywords/>
  <dc:description/>
  <cp:lastModifiedBy>Maryam Sadeghimehr</cp:lastModifiedBy>
  <cp:revision>33</cp:revision>
  <cp:lastPrinted>2021-06-13T14:14:00Z</cp:lastPrinted>
  <dcterms:created xsi:type="dcterms:W3CDTF">2021-06-13T13:48:00Z</dcterms:created>
  <dcterms:modified xsi:type="dcterms:W3CDTF">2021-06-27T18:14:00Z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