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663C" w14:textId="77777777" w:rsidR="004A100F" w:rsidRDefault="00AF0B92">
      <w:r>
        <w:t>Supporting material</w:t>
      </w:r>
    </w:p>
    <w:p w14:paraId="2034C27F" w14:textId="77777777" w:rsidR="004A100F" w:rsidRDefault="00AF0B92">
      <w:pPr>
        <w:widowControl w:val="0"/>
        <w:spacing w:before="240" w:after="240"/>
      </w:pPr>
      <w:r>
        <w:t>The average (standard deviation) number of droplets in ten merged wells determined from a random subset of 8 samples was 190000 (6800).  Average number of copies per partition (λ) for SARS-CoV-2 RNA in the same subset was 7.2x10</w:t>
      </w:r>
      <w:r>
        <w:rPr>
          <w:vertAlign w:val="superscript"/>
        </w:rPr>
        <w:t>-4</w:t>
      </w:r>
      <w:r>
        <w:t xml:space="preserve">, the average of the number of copies per partition (λ) for </w:t>
      </w:r>
      <w:proofErr w:type="spellStart"/>
      <w:r>
        <w:t>PMMoV</w:t>
      </w:r>
      <w:proofErr w:type="spellEnd"/>
      <w:r>
        <w:t xml:space="preserve"> was 0.14, and 1.8x10</w:t>
      </w:r>
      <w:r>
        <w:rPr>
          <w:vertAlign w:val="superscript"/>
        </w:rPr>
        <w:t>-3</w:t>
      </w:r>
      <w:r>
        <w:t xml:space="preserve"> for </w:t>
      </w:r>
      <w:proofErr w:type="spellStart"/>
      <w:r>
        <w:t>BCoV</w:t>
      </w:r>
      <w:proofErr w:type="spellEnd"/>
      <w:r>
        <w:t xml:space="preserve">. </w:t>
      </w:r>
    </w:p>
    <w:p w14:paraId="23164C8B" w14:textId="77777777" w:rsidR="004A100F" w:rsidRDefault="00AF0B92">
      <w:pPr>
        <w:widowControl w:val="0"/>
        <w:spacing w:before="240" w:after="240"/>
      </w:pPr>
      <w:r>
        <w:t>As the samples were extracted ten times and each extract analyzed in one of 10 replicate wells which were merged, the replicate variability incorporates variation from both RNA extraction and RT-</w:t>
      </w:r>
      <w:proofErr w:type="spellStart"/>
      <w:r>
        <w:t>dPCR</w:t>
      </w:r>
      <w:proofErr w:type="spellEnd"/>
      <w:r>
        <w:t xml:space="preserve"> with a heterogeneous solids sample.  Sample standard deviations for the SARS-CoV-2, </w:t>
      </w:r>
      <w:proofErr w:type="spellStart"/>
      <w:r>
        <w:t>PMMoV</w:t>
      </w:r>
      <w:proofErr w:type="spellEnd"/>
      <w:r>
        <w:t xml:space="preserve"> RNA, and </w:t>
      </w:r>
      <w:proofErr w:type="spellStart"/>
      <w:r>
        <w:t>BCoV</w:t>
      </w:r>
      <w:proofErr w:type="spellEnd"/>
      <w:r>
        <w:t xml:space="preserve"> RNA quantification estimated from the merged wells were, on average 21%, 17%, and 15% of the measurement. Assays were conducted in only one lab, so reproducibility was not assessed. </w:t>
      </w:r>
    </w:p>
    <w:p w14:paraId="29833223" w14:textId="77777777" w:rsidR="004A100F" w:rsidRDefault="00AF0B92">
      <w:pPr>
        <w:widowControl w:val="0"/>
        <w:spacing w:before="240" w:after="240"/>
      </w:pPr>
      <w:r>
        <w:t xml:space="preserve">The LOD of the assay was 3 positive droplets which translates into between 600 and 1000 copies/g dry weight depending on the percent dry weight of the solids used in the extraction which depends on the properties of the solid and how effectively it can be dewatered. </w:t>
      </w:r>
    </w:p>
    <w:p w14:paraId="292720B0" w14:textId="708FCDC4" w:rsidR="004A100F" w:rsidRDefault="00AF0B92">
      <w:pPr>
        <w:widowControl w:val="0"/>
        <w:spacing w:before="240" w:after="240"/>
      </w:pPr>
      <w:r>
        <w:t xml:space="preserve">Example fluorescence plots for the N, S, and ORF1a genes are provided in the associated reference by </w:t>
      </w:r>
      <w:proofErr w:type="spellStart"/>
      <w:r>
        <w:t>Topol</w:t>
      </w:r>
      <w:proofErr w:type="spellEnd"/>
      <w:r>
        <w:t xml:space="preserve"> et al. [1], additional fluorescence plots are shown below in Figures S1, S2, and S3. </w:t>
      </w:r>
    </w:p>
    <w:p w14:paraId="7B429AA7" w14:textId="7E8BA447" w:rsidR="00C70B94" w:rsidRDefault="00C70B94" w:rsidP="00C70B94">
      <w:pPr>
        <w:widowControl w:val="0"/>
        <w:spacing w:before="240" w:after="240"/>
      </w:pPr>
      <w:r>
        <w:t xml:space="preserve">Additional MIQE guideline information is provided in Table S1. </w:t>
      </w:r>
      <w:r>
        <w:t>The references in the</w:t>
      </w:r>
      <w:r>
        <w:t xml:space="preserve"> table are provided and numbered according to this Supporting Material document. </w:t>
      </w:r>
    </w:p>
    <w:p w14:paraId="781056D2" w14:textId="184667FD" w:rsidR="00C70B94" w:rsidRDefault="00C70B94" w:rsidP="00C70B94">
      <w:pPr>
        <w:widowControl w:val="0"/>
        <w:spacing w:before="240" w:after="240"/>
      </w:pPr>
      <w:r>
        <w:t xml:space="preserve">Captions for all Figures and are provided with the associated file in the supporting material. </w:t>
      </w:r>
    </w:p>
    <w:p w14:paraId="6BB80A11" w14:textId="4533F2F3" w:rsidR="00C70B94" w:rsidRDefault="00C70B94">
      <w:pPr>
        <w:widowControl w:val="0"/>
        <w:spacing w:before="240" w:after="240"/>
      </w:pPr>
    </w:p>
    <w:p w14:paraId="5D1DCDB6" w14:textId="77777777" w:rsidR="004A100F" w:rsidRDefault="004A100F">
      <w:pPr>
        <w:widowControl w:val="0"/>
        <w:spacing w:before="240" w:after="240"/>
      </w:pPr>
    </w:p>
    <w:p w14:paraId="5B69ADC9" w14:textId="77777777" w:rsidR="004A100F" w:rsidRDefault="004A100F">
      <w:pPr>
        <w:widowControl w:val="0"/>
        <w:spacing w:before="240" w:after="240"/>
      </w:pPr>
    </w:p>
    <w:p w14:paraId="003CDCBA" w14:textId="62E0FD02" w:rsidR="004A100F" w:rsidRDefault="004A100F">
      <w:pPr>
        <w:widowControl w:val="0"/>
        <w:spacing w:before="240" w:after="240"/>
      </w:pPr>
    </w:p>
    <w:p w14:paraId="39EC83D8" w14:textId="77777777" w:rsidR="004A100F" w:rsidRDefault="004A100F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100F" w14:paraId="01DEB0B0" w14:textId="77777777">
        <w:trPr>
          <w:trHeight w:val="21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18AB8C2" w14:textId="643BAEE5" w:rsidR="004A100F" w:rsidRDefault="004A100F">
            <w:pPr>
              <w:spacing w:line="240" w:lineRule="auto"/>
            </w:pPr>
          </w:p>
        </w:tc>
      </w:tr>
    </w:tbl>
    <w:p w14:paraId="760B1E1E" w14:textId="77777777" w:rsidR="004A100F" w:rsidRDefault="004A100F">
      <w:pPr>
        <w:widowControl w:val="0"/>
        <w:spacing w:before="240" w:after="240"/>
      </w:pPr>
    </w:p>
    <w:p w14:paraId="27CB55DA" w14:textId="2189AFF4" w:rsidR="004A100F" w:rsidRPr="00C70B94" w:rsidRDefault="00AF0B92">
      <w:pPr>
        <w:widowControl w:val="0"/>
        <w:spacing w:before="240" w:after="240"/>
        <w:rPr>
          <w:b/>
        </w:rPr>
      </w:pPr>
      <w:r>
        <w:br w:type="page"/>
      </w:r>
      <w:r>
        <w:lastRenderedPageBreak/>
        <w:t>References</w:t>
      </w:r>
    </w:p>
    <w:p w14:paraId="3EA94E48" w14:textId="77777777" w:rsidR="004A100F" w:rsidRDefault="00AF0B92">
      <w:pPr>
        <w:widowControl w:val="0"/>
        <w:spacing w:before="240" w:after="240"/>
      </w:pPr>
      <w:r>
        <w:t xml:space="preserve">[1] </w:t>
      </w:r>
      <w:hyperlink r:id="rId6">
        <w:proofErr w:type="spellStart"/>
        <w:r>
          <w:t>Topol</w:t>
        </w:r>
        <w:proofErr w:type="spellEnd"/>
        <w:r>
          <w:t xml:space="preserve"> A, Wolfe M, White B, Wigginton K, Boehm A. High Throughput SARS-COV-2, PMMOV, and </w:t>
        </w:r>
        <w:proofErr w:type="spellStart"/>
        <w:r>
          <w:t>BCoV</w:t>
        </w:r>
        <w:proofErr w:type="spellEnd"/>
        <w:r>
          <w:t xml:space="preserve"> quantification in settled solids using digital RT-PCR. protocols.io. 2021. Available: dx.doi.org/10.17504/</w:t>
        </w:r>
        <w:proofErr w:type="spellStart"/>
        <w:r>
          <w:t>protocols.io.btywnpxe</w:t>
        </w:r>
        <w:proofErr w:type="spellEnd"/>
      </w:hyperlink>
    </w:p>
    <w:p w14:paraId="002D01F1" w14:textId="77777777" w:rsidR="004A100F" w:rsidRDefault="00AF0B92">
      <w:pPr>
        <w:widowControl w:val="0"/>
        <w:spacing w:before="240" w:after="240"/>
      </w:pPr>
      <w:r>
        <w:t xml:space="preserve">[2] </w:t>
      </w:r>
      <w:hyperlink r:id="rId7">
        <w:r>
          <w:t xml:space="preserve">The </w:t>
        </w:r>
        <w:proofErr w:type="spellStart"/>
        <w:r>
          <w:t>dMIQE</w:t>
        </w:r>
        <w:proofErr w:type="spellEnd"/>
        <w:r>
          <w:t xml:space="preserve"> Group, Huggett JF. The Digital MIQE Guidelines Update: Minimum Information for Publication of Quantitative Digital PCR Experiments for 2020. Clinical Chemistry. 2020;66: 1012–1029. doi:10.1093/</w:t>
        </w:r>
        <w:proofErr w:type="spellStart"/>
        <w:r>
          <w:t>clinchem</w:t>
        </w:r>
        <w:proofErr w:type="spellEnd"/>
        <w:r>
          <w:t>/hvaa125</w:t>
        </w:r>
      </w:hyperlink>
    </w:p>
    <w:p w14:paraId="59B02F99" w14:textId="49DDCD1A" w:rsidR="004A100F" w:rsidRDefault="00AF0B92">
      <w:pPr>
        <w:widowControl w:val="0"/>
        <w:spacing w:before="240" w:after="240"/>
      </w:pPr>
      <w:r>
        <w:t xml:space="preserve">[3] </w:t>
      </w:r>
      <w:r w:rsidR="00695331" w:rsidRPr="00695331">
        <w:t xml:space="preserve">Huisman JS, Scire J, </w:t>
      </w:r>
      <w:proofErr w:type="spellStart"/>
      <w:r w:rsidR="00695331" w:rsidRPr="00695331">
        <w:t>Caduff</w:t>
      </w:r>
      <w:proofErr w:type="spellEnd"/>
      <w:r w:rsidR="00695331" w:rsidRPr="00695331">
        <w:t xml:space="preserve"> L, Fernandez-Cassi X, </w:t>
      </w:r>
      <w:proofErr w:type="spellStart"/>
      <w:r w:rsidR="00695331" w:rsidRPr="00695331">
        <w:t>Ganesanandamoorthy</w:t>
      </w:r>
      <w:proofErr w:type="spellEnd"/>
      <w:r w:rsidR="00695331" w:rsidRPr="00695331">
        <w:t xml:space="preserve"> P, Kull A, Andreas </w:t>
      </w:r>
      <w:proofErr w:type="spellStart"/>
      <w:r w:rsidR="00695331" w:rsidRPr="00695331">
        <w:t>Scheidegger</w:t>
      </w:r>
      <w:proofErr w:type="spellEnd"/>
      <w:r w:rsidR="00695331" w:rsidRPr="00695331">
        <w:t xml:space="preserve">, Elyse </w:t>
      </w:r>
      <w:proofErr w:type="spellStart"/>
      <w:r w:rsidR="00695331" w:rsidRPr="00695331">
        <w:t>Stachler</w:t>
      </w:r>
      <w:proofErr w:type="spellEnd"/>
      <w:r w:rsidR="00695331" w:rsidRPr="00695331">
        <w:t xml:space="preserve">, Alexandria B. Boehm, Bridgette Hughes, Alisha Knudson, Aaron </w:t>
      </w:r>
      <w:proofErr w:type="spellStart"/>
      <w:r w:rsidR="00695331" w:rsidRPr="00695331">
        <w:t>Topol</w:t>
      </w:r>
      <w:proofErr w:type="spellEnd"/>
      <w:r w:rsidR="00695331" w:rsidRPr="00695331">
        <w:t xml:space="preserve">, Krista R. Wigginton, Marlene K. Wolfe, Tamar Kohn, Christoph Ort, Tanja Stadler, Timothy R. Julian. Wastewater-based estimation of the effective reproductive number of SARS-CoV-2. </w:t>
      </w:r>
      <w:proofErr w:type="spellStart"/>
      <w:r w:rsidR="00695331" w:rsidRPr="00695331">
        <w:t>medRxiv</w:t>
      </w:r>
      <w:proofErr w:type="spellEnd"/>
      <w:r w:rsidR="00695331" w:rsidRPr="00695331">
        <w:t>. 2021; 2021.04.29.21255961. doi:10.1101/2021.04.29.21255961</w:t>
      </w:r>
    </w:p>
    <w:p w14:paraId="571EF180" w14:textId="77777777" w:rsidR="004A100F" w:rsidRDefault="004A100F"/>
    <w:sectPr w:rsidR="004A100F" w:rsidSect="00964819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5562" w14:textId="77777777" w:rsidR="00FF5F4E" w:rsidRDefault="00FF5F4E">
      <w:pPr>
        <w:spacing w:line="240" w:lineRule="auto"/>
      </w:pPr>
      <w:r>
        <w:separator/>
      </w:r>
    </w:p>
  </w:endnote>
  <w:endnote w:type="continuationSeparator" w:id="0">
    <w:p w14:paraId="34289475" w14:textId="77777777" w:rsidR="00FF5F4E" w:rsidRDefault="00FF5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3D52" w14:textId="77777777" w:rsidR="004A100F" w:rsidRDefault="00AF0B92">
    <w:pPr>
      <w:jc w:val="right"/>
    </w:pPr>
    <w:r>
      <w:fldChar w:fldCharType="begin"/>
    </w:r>
    <w:r>
      <w:instrText>PAGE</w:instrText>
    </w:r>
    <w:r>
      <w:fldChar w:fldCharType="separate"/>
    </w:r>
    <w:r w:rsidR="009648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411D" w14:textId="77777777" w:rsidR="00FF5F4E" w:rsidRDefault="00FF5F4E">
      <w:pPr>
        <w:spacing w:line="240" w:lineRule="auto"/>
      </w:pPr>
      <w:r>
        <w:separator/>
      </w:r>
    </w:p>
  </w:footnote>
  <w:footnote w:type="continuationSeparator" w:id="0">
    <w:p w14:paraId="2AB80823" w14:textId="77777777" w:rsidR="00FF5F4E" w:rsidRDefault="00FF5F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0F"/>
    <w:rsid w:val="00171B1B"/>
    <w:rsid w:val="004A100F"/>
    <w:rsid w:val="00695331"/>
    <w:rsid w:val="00964819"/>
    <w:rsid w:val="00AF0B92"/>
    <w:rsid w:val="00C70B94"/>
    <w:rsid w:val="00F16393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7E1E7"/>
  <w15:docId w15:val="{B1506E43-13C9-AE4C-8BBB-1F8262F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6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zotero.org/google-docs/?4ha0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tero.org/google-docs/?4ha0m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Alexandria Boehm</cp:lastModifiedBy>
  <cp:revision>3</cp:revision>
  <dcterms:created xsi:type="dcterms:W3CDTF">2021-06-25T21:54:00Z</dcterms:created>
  <dcterms:modified xsi:type="dcterms:W3CDTF">2021-06-25T22:54:00Z</dcterms:modified>
</cp:coreProperties>
</file>