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1BD" w:rsidRPr="00D971BD" w:rsidRDefault="00D971BD" w:rsidP="00D971BD">
      <w:pPr>
        <w:pStyle w:val="1"/>
        <w:spacing w:line="480" w:lineRule="auto"/>
        <w:rPr>
          <w:b/>
          <w:sz w:val="24"/>
          <w:szCs w:val="28"/>
        </w:rPr>
      </w:pPr>
      <w:r w:rsidRPr="00D971BD">
        <w:rPr>
          <w:b/>
          <w:sz w:val="24"/>
          <w:szCs w:val="28"/>
        </w:rPr>
        <w:t>Supplementary Materials for:</w:t>
      </w:r>
    </w:p>
    <w:p w:rsidR="00D971BD" w:rsidRDefault="00D971BD" w:rsidP="00D971BD">
      <w:pPr>
        <w:pStyle w:val="1"/>
        <w:spacing w:line="480" w:lineRule="auto"/>
        <w:jc w:val="center"/>
        <w:rPr>
          <w:b/>
          <w:sz w:val="28"/>
          <w:szCs w:val="28"/>
        </w:rPr>
      </w:pPr>
      <w:r>
        <w:rPr>
          <w:b/>
          <w:sz w:val="28"/>
          <w:szCs w:val="28"/>
        </w:rPr>
        <w:t>LitR</w:t>
      </w:r>
      <w:r w:rsidRPr="00DA1552">
        <w:rPr>
          <w:b/>
          <w:sz w:val="28"/>
          <w:szCs w:val="28"/>
        </w:rPr>
        <w:t xml:space="preserve"> </w:t>
      </w:r>
      <w:r>
        <w:rPr>
          <w:b/>
          <w:sz w:val="28"/>
          <w:szCs w:val="28"/>
        </w:rPr>
        <w:t xml:space="preserve">upregulates </w:t>
      </w:r>
      <w:r w:rsidRPr="0069471A">
        <w:rPr>
          <w:b/>
          <w:i/>
          <w:sz w:val="28"/>
          <w:szCs w:val="28"/>
        </w:rPr>
        <w:t>luxICDABE</w:t>
      </w:r>
      <w:r>
        <w:rPr>
          <w:b/>
          <w:sz w:val="28"/>
          <w:szCs w:val="28"/>
        </w:rPr>
        <w:t xml:space="preserve"> genes of bacteria from </w:t>
      </w:r>
      <w:r>
        <w:rPr>
          <w:b/>
          <w:i/>
          <w:sz w:val="28"/>
          <w:szCs w:val="28"/>
        </w:rPr>
        <w:t xml:space="preserve">Aliivibrio </w:t>
      </w:r>
      <w:r>
        <w:rPr>
          <w:b/>
          <w:sz w:val="28"/>
          <w:szCs w:val="28"/>
        </w:rPr>
        <w:t>genus.</w:t>
      </w:r>
    </w:p>
    <w:p w:rsidR="00D971BD" w:rsidRPr="008B262F" w:rsidRDefault="00D971BD" w:rsidP="00D971BD">
      <w:pPr>
        <w:pStyle w:val="1"/>
        <w:spacing w:line="480" w:lineRule="auto"/>
        <w:jc w:val="center"/>
      </w:pPr>
      <w:r>
        <w:rPr>
          <w:b/>
        </w:rPr>
        <w:t>Bazhenov</w:t>
      </w:r>
      <w:r w:rsidRPr="008B262F">
        <w:rPr>
          <w:b/>
        </w:rPr>
        <w:t xml:space="preserve"> </w:t>
      </w:r>
      <w:r>
        <w:rPr>
          <w:b/>
        </w:rPr>
        <w:t>S</w:t>
      </w:r>
      <w:r w:rsidRPr="008B262F">
        <w:rPr>
          <w:b/>
        </w:rPr>
        <w:t>.</w:t>
      </w:r>
      <w:r>
        <w:rPr>
          <w:b/>
        </w:rPr>
        <w:t>V</w:t>
      </w:r>
      <w:r w:rsidRPr="008B262F">
        <w:rPr>
          <w:b/>
        </w:rPr>
        <w:t xml:space="preserve">., </w:t>
      </w:r>
      <w:r>
        <w:rPr>
          <w:b/>
        </w:rPr>
        <w:t>Melkina</w:t>
      </w:r>
      <w:r w:rsidRPr="008B262F">
        <w:rPr>
          <w:b/>
        </w:rPr>
        <w:t xml:space="preserve"> </w:t>
      </w:r>
      <w:r>
        <w:rPr>
          <w:b/>
        </w:rPr>
        <w:t>O</w:t>
      </w:r>
      <w:r w:rsidRPr="008B262F">
        <w:rPr>
          <w:b/>
        </w:rPr>
        <w:t>.</w:t>
      </w:r>
      <w:r>
        <w:rPr>
          <w:b/>
        </w:rPr>
        <w:t>E</w:t>
      </w:r>
      <w:r w:rsidRPr="008B262F">
        <w:rPr>
          <w:b/>
        </w:rPr>
        <w:t xml:space="preserve">., </w:t>
      </w:r>
      <w:r>
        <w:rPr>
          <w:b/>
        </w:rPr>
        <w:t>Fomin</w:t>
      </w:r>
      <w:r w:rsidRPr="008B262F">
        <w:rPr>
          <w:b/>
        </w:rPr>
        <w:t xml:space="preserve"> </w:t>
      </w:r>
      <w:r>
        <w:rPr>
          <w:b/>
        </w:rPr>
        <w:t>V</w:t>
      </w:r>
      <w:r w:rsidRPr="008B262F">
        <w:rPr>
          <w:b/>
        </w:rPr>
        <w:t>.</w:t>
      </w:r>
      <w:r>
        <w:rPr>
          <w:b/>
        </w:rPr>
        <w:t>V</w:t>
      </w:r>
      <w:r w:rsidRPr="008B262F">
        <w:rPr>
          <w:b/>
        </w:rPr>
        <w:t xml:space="preserve">., </w:t>
      </w:r>
      <w:r>
        <w:rPr>
          <w:b/>
        </w:rPr>
        <w:t>Scheglova</w:t>
      </w:r>
      <w:r w:rsidRPr="008B262F">
        <w:rPr>
          <w:b/>
        </w:rPr>
        <w:t xml:space="preserve"> </w:t>
      </w:r>
      <w:r>
        <w:rPr>
          <w:b/>
        </w:rPr>
        <w:t>E</w:t>
      </w:r>
      <w:r w:rsidRPr="008B262F">
        <w:rPr>
          <w:b/>
        </w:rPr>
        <w:t>.</w:t>
      </w:r>
      <w:r>
        <w:rPr>
          <w:b/>
        </w:rPr>
        <w:t>S</w:t>
      </w:r>
      <w:r w:rsidRPr="008B262F">
        <w:rPr>
          <w:b/>
        </w:rPr>
        <w:t xml:space="preserve">., </w:t>
      </w:r>
      <w:r>
        <w:rPr>
          <w:b/>
        </w:rPr>
        <w:t>Krasnik</w:t>
      </w:r>
      <w:r w:rsidRPr="008B262F">
        <w:rPr>
          <w:b/>
        </w:rPr>
        <w:t xml:space="preserve"> </w:t>
      </w:r>
      <w:r>
        <w:rPr>
          <w:b/>
        </w:rPr>
        <w:t>P</w:t>
      </w:r>
      <w:r w:rsidRPr="008B262F">
        <w:rPr>
          <w:b/>
        </w:rPr>
        <w:t>.</w:t>
      </w:r>
      <w:r>
        <w:rPr>
          <w:b/>
        </w:rPr>
        <w:t>V</w:t>
      </w:r>
      <w:r w:rsidRPr="008B262F">
        <w:rPr>
          <w:b/>
        </w:rPr>
        <w:t>.,</w:t>
      </w:r>
      <w:r w:rsidR="00C51318">
        <w:rPr>
          <w:b/>
        </w:rPr>
        <w:t xml:space="preserve"> Khrulnova S.A.,</w:t>
      </w:r>
      <w:r w:rsidRPr="008B262F">
        <w:rPr>
          <w:b/>
        </w:rPr>
        <w:t xml:space="preserve"> </w:t>
      </w:r>
      <w:r>
        <w:rPr>
          <w:b/>
        </w:rPr>
        <w:t>Zavilgelsky</w:t>
      </w:r>
      <w:r w:rsidRPr="008B262F">
        <w:rPr>
          <w:b/>
        </w:rPr>
        <w:t xml:space="preserve"> </w:t>
      </w:r>
      <w:r>
        <w:rPr>
          <w:b/>
        </w:rPr>
        <w:t>G</w:t>
      </w:r>
      <w:r w:rsidRPr="008B262F">
        <w:rPr>
          <w:b/>
        </w:rPr>
        <w:t>.</w:t>
      </w:r>
      <w:r>
        <w:rPr>
          <w:b/>
        </w:rPr>
        <w:t>B</w:t>
      </w:r>
      <w:r w:rsidRPr="008B262F">
        <w:rPr>
          <w:b/>
        </w:rPr>
        <w:t xml:space="preserve">., </w:t>
      </w:r>
      <w:r>
        <w:rPr>
          <w:b/>
        </w:rPr>
        <w:t>Manukhov I</w:t>
      </w:r>
      <w:r w:rsidRPr="008B262F">
        <w:rPr>
          <w:b/>
        </w:rPr>
        <w:t>.</w:t>
      </w:r>
      <w:r>
        <w:rPr>
          <w:b/>
        </w:rPr>
        <w:t>V</w:t>
      </w:r>
      <w:r w:rsidRPr="008B262F">
        <w:rPr>
          <w:b/>
        </w:rPr>
        <w:t>.</w:t>
      </w:r>
    </w:p>
    <w:p w:rsidR="00D971BD" w:rsidRDefault="00D971BD" w:rsidP="00D971BD">
      <w:pPr>
        <w:jc w:val="center"/>
        <w:rPr>
          <w:b/>
          <w:lang w:val="en-US"/>
        </w:rPr>
      </w:pPr>
    </w:p>
    <w:p w:rsidR="00E71AD1" w:rsidRPr="004F3D01" w:rsidRDefault="009E5811" w:rsidP="00D971BD">
      <w:pPr>
        <w:jc w:val="center"/>
        <w:rPr>
          <w:b/>
          <w:lang w:val="en-US"/>
        </w:rPr>
      </w:pPr>
      <w:r>
        <w:rPr>
          <w:b/>
          <w:noProof/>
          <w:lang w:eastAsia="ru-RU"/>
        </w:rPr>
        <w:drawing>
          <wp:inline distT="0" distB="0" distL="0" distR="0">
            <wp:extent cx="5934710" cy="5201920"/>
            <wp:effectExtent l="0" t="0" r="0" b="0"/>
            <wp:docPr id="8" name="Рисунок 1" descr="Набор плазм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бор плазми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710" cy="5201920"/>
                    </a:xfrm>
                    <a:prstGeom prst="rect">
                      <a:avLst/>
                    </a:prstGeom>
                    <a:noFill/>
                    <a:ln>
                      <a:noFill/>
                    </a:ln>
                  </pic:spPr>
                </pic:pic>
              </a:graphicData>
            </a:graphic>
          </wp:inline>
        </w:drawing>
      </w:r>
    </w:p>
    <w:p w:rsidR="004F3D01" w:rsidRPr="007F6260" w:rsidRDefault="00E71AD1" w:rsidP="004F3D01">
      <w:pPr>
        <w:jc w:val="center"/>
        <w:rPr>
          <w:rFonts w:ascii="Times New Roman" w:hAnsi="Times New Roman" w:cs="Times New Roman"/>
          <w:lang w:val="en-US"/>
        </w:rPr>
      </w:pPr>
      <w:r w:rsidRPr="006212A3">
        <w:rPr>
          <w:rFonts w:ascii="Times New Roman" w:hAnsi="Times New Roman" w:cs="Times New Roman"/>
          <w:b/>
          <w:lang w:val="en-US"/>
        </w:rPr>
        <w:t>Figure S</w:t>
      </w:r>
      <w:r w:rsidR="00A77863" w:rsidRPr="006212A3">
        <w:rPr>
          <w:rFonts w:ascii="Times New Roman" w:hAnsi="Times New Roman" w:cs="Times New Roman"/>
          <w:b/>
          <w:lang w:val="en-US"/>
        </w:rPr>
        <w:t>1</w:t>
      </w:r>
      <w:r w:rsidRPr="006212A3">
        <w:rPr>
          <w:rFonts w:ascii="Times New Roman" w:hAnsi="Times New Roman" w:cs="Times New Roman"/>
          <w:b/>
          <w:lang w:val="en-US"/>
        </w:rPr>
        <w:t xml:space="preserve"> </w:t>
      </w:r>
      <w:r w:rsidRPr="006212A3">
        <w:rPr>
          <w:rFonts w:ascii="Times New Roman" w:hAnsi="Times New Roman" w:cs="Times New Roman"/>
          <w:lang w:val="en-US"/>
        </w:rPr>
        <w:t>Scheme</w:t>
      </w:r>
      <w:r w:rsidR="00DF40C8" w:rsidRPr="006212A3">
        <w:rPr>
          <w:rFonts w:ascii="Times New Roman" w:hAnsi="Times New Roman" w:cs="Times New Roman"/>
          <w:lang w:val="en-US"/>
        </w:rPr>
        <w:t>s</w:t>
      </w:r>
      <w:r w:rsidRPr="006212A3">
        <w:rPr>
          <w:rFonts w:ascii="Times New Roman" w:hAnsi="Times New Roman" w:cs="Times New Roman"/>
          <w:lang w:val="en-US"/>
        </w:rPr>
        <w:t xml:space="preserve"> of </w:t>
      </w:r>
      <w:r w:rsidR="00DF40C8" w:rsidRPr="006212A3">
        <w:rPr>
          <w:rFonts w:ascii="Times New Roman" w:hAnsi="Times New Roman" w:cs="Times New Roman"/>
          <w:lang w:val="en-US"/>
        </w:rPr>
        <w:t>used in the study plasmids</w:t>
      </w:r>
      <w:r w:rsidR="00BA0D49" w:rsidRPr="006212A3">
        <w:rPr>
          <w:rFonts w:ascii="Times New Roman" w:hAnsi="Times New Roman" w:cs="Times New Roman"/>
          <w:lang w:val="en-US"/>
        </w:rPr>
        <w:t>. Left part of the figure shows promoters and genes being inserted in the pDEW201</w:t>
      </w:r>
      <w:r w:rsidR="00DF40C8" w:rsidRPr="006212A3">
        <w:rPr>
          <w:rFonts w:ascii="Times New Roman" w:hAnsi="Times New Roman" w:cs="Times New Roman"/>
          <w:lang w:val="en-US"/>
        </w:rPr>
        <w:t xml:space="preserve"> promoter</w:t>
      </w:r>
      <w:r w:rsidR="00BA0D49" w:rsidRPr="006212A3">
        <w:rPr>
          <w:rFonts w:ascii="Times New Roman" w:hAnsi="Times New Roman" w:cs="Times New Roman"/>
          <w:lang w:val="en-US"/>
        </w:rPr>
        <w:t xml:space="preserve"> probe vector with </w:t>
      </w:r>
      <w:r w:rsidR="00F850B2" w:rsidRPr="006212A3">
        <w:rPr>
          <w:rFonts w:ascii="Times New Roman" w:hAnsi="Times New Roman" w:cs="Times New Roman"/>
          <w:i/>
          <w:lang w:val="en-US"/>
        </w:rPr>
        <w:t xml:space="preserve">luxCDABE Photorhabdus luminescens </w:t>
      </w:r>
      <w:r w:rsidR="00F850B2" w:rsidRPr="006212A3">
        <w:rPr>
          <w:rFonts w:ascii="Times New Roman" w:hAnsi="Times New Roman" w:cs="Times New Roman"/>
          <w:lang w:val="en-US"/>
        </w:rPr>
        <w:t>genes</w:t>
      </w:r>
      <w:r w:rsidR="00CD3013" w:rsidRPr="006212A3">
        <w:rPr>
          <w:rFonts w:ascii="Times New Roman" w:hAnsi="Times New Roman" w:cs="Times New Roman"/>
          <w:lang w:val="en-US"/>
        </w:rPr>
        <w:t xml:space="preserve"> with references to biosensor plasmids names</w:t>
      </w:r>
      <w:r w:rsidR="00F850B2" w:rsidRPr="006212A3">
        <w:rPr>
          <w:rFonts w:ascii="Times New Roman" w:hAnsi="Times New Roman" w:cs="Times New Roman"/>
          <w:lang w:val="en-US"/>
        </w:rPr>
        <w:t>.</w:t>
      </w:r>
      <w:r w:rsidR="007F6260">
        <w:rPr>
          <w:rFonts w:ascii="Times New Roman" w:hAnsi="Times New Roman" w:cs="Times New Roman"/>
          <w:lang w:val="en-US"/>
        </w:rPr>
        <w:t xml:space="preserve"> pD-lb1 and pD-lb2 differ</w:t>
      </w:r>
      <w:r w:rsidR="004F3D01">
        <w:rPr>
          <w:rFonts w:ascii="Times New Roman" w:hAnsi="Times New Roman" w:cs="Times New Roman"/>
          <w:lang w:val="en-US"/>
        </w:rPr>
        <w:t xml:space="preserve"> only by 5 bp in </w:t>
      </w:r>
      <w:r w:rsidR="004F3D01">
        <w:rPr>
          <w:rFonts w:ascii="Times New Roman" w:hAnsi="Times New Roman" w:cs="Times New Roman"/>
          <w:i/>
          <w:lang w:val="en-US"/>
        </w:rPr>
        <w:t>lux</w:t>
      </w:r>
      <w:r w:rsidR="004F3D01">
        <w:rPr>
          <w:rFonts w:ascii="Times New Roman" w:hAnsi="Times New Roman" w:cs="Times New Roman"/>
          <w:lang w:val="en-US"/>
        </w:rPr>
        <w:t>-box.</w:t>
      </w:r>
      <w:r w:rsidR="00F850B2" w:rsidRPr="006212A3">
        <w:rPr>
          <w:rFonts w:ascii="Times New Roman" w:hAnsi="Times New Roman" w:cs="Times New Roman"/>
          <w:lang w:val="en-US"/>
        </w:rPr>
        <w:t xml:space="preserve"> Right part of the figure </w:t>
      </w:r>
      <w:r w:rsidR="00CD3013" w:rsidRPr="006212A3">
        <w:rPr>
          <w:rFonts w:ascii="Times New Roman" w:hAnsi="Times New Roman" w:cs="Times New Roman"/>
          <w:lang w:val="en-US"/>
        </w:rPr>
        <w:t>shows p15Tc-litR.</w:t>
      </w:r>
    </w:p>
    <w:p w:rsidR="004F3D01" w:rsidRPr="007F6260" w:rsidRDefault="004F3D01">
      <w:pPr>
        <w:rPr>
          <w:rFonts w:ascii="Times New Roman" w:hAnsi="Times New Roman" w:cs="Times New Roman"/>
          <w:highlight w:val="red"/>
          <w:lang w:val="en-US"/>
        </w:rPr>
      </w:pPr>
      <w:r w:rsidRPr="007F6260">
        <w:rPr>
          <w:rFonts w:ascii="Times New Roman" w:hAnsi="Times New Roman" w:cs="Times New Roman"/>
          <w:highlight w:val="red"/>
          <w:lang w:val="en-US"/>
        </w:rPr>
        <w:br w:type="page"/>
      </w:r>
    </w:p>
    <w:p w:rsidR="009E5811" w:rsidRDefault="009E5811" w:rsidP="00B46DA6">
      <w:pPr>
        <w:jc w:val="center"/>
        <w:rPr>
          <w:rFonts w:ascii="Times New Roman" w:hAnsi="Times New Roman" w:cs="Times New Roman"/>
          <w:b/>
          <w:lang w:val="en-US"/>
        </w:rPr>
      </w:pPr>
      <w:r>
        <w:rPr>
          <w:noProof/>
          <w:lang w:eastAsia="ru-RU"/>
        </w:rPr>
        <w:lastRenderedPageBreak/>
        <w:drawing>
          <wp:inline distT="0" distB="0" distL="0" distR="0" wp14:anchorId="2B3A3033" wp14:editId="35124D6D">
            <wp:extent cx="5940425" cy="18122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1812290"/>
                    </a:xfrm>
                    <a:prstGeom prst="rect">
                      <a:avLst/>
                    </a:prstGeom>
                  </pic:spPr>
                </pic:pic>
              </a:graphicData>
            </a:graphic>
          </wp:inline>
        </w:drawing>
      </w:r>
    </w:p>
    <w:p w:rsidR="00B46DA6" w:rsidRDefault="000619E1" w:rsidP="00B46DA6">
      <w:pPr>
        <w:jc w:val="center"/>
        <w:rPr>
          <w:rFonts w:ascii="Times New Roman" w:hAnsi="Times New Roman" w:cs="Times New Roman"/>
          <w:lang w:val="en-US"/>
        </w:rPr>
      </w:pPr>
      <w:r w:rsidRPr="006212A3">
        <w:rPr>
          <w:rFonts w:ascii="Times New Roman" w:hAnsi="Times New Roman" w:cs="Times New Roman"/>
          <w:b/>
          <w:lang w:val="en-US"/>
        </w:rPr>
        <w:t>Figure S</w:t>
      </w:r>
      <w:r w:rsidR="00E71AD1" w:rsidRPr="006212A3">
        <w:rPr>
          <w:rFonts w:ascii="Times New Roman" w:hAnsi="Times New Roman" w:cs="Times New Roman"/>
          <w:b/>
          <w:lang w:val="en-US"/>
        </w:rPr>
        <w:t>2</w:t>
      </w:r>
      <w:r w:rsidRPr="006212A3">
        <w:rPr>
          <w:rFonts w:ascii="Times New Roman" w:hAnsi="Times New Roman" w:cs="Times New Roman"/>
          <w:b/>
          <w:lang w:val="en-US"/>
        </w:rPr>
        <w:t xml:space="preserve"> </w:t>
      </w:r>
      <w:r w:rsidRPr="006212A3">
        <w:rPr>
          <w:rFonts w:ascii="Times New Roman" w:hAnsi="Times New Roman" w:cs="Times New Roman"/>
          <w:lang w:val="en-US"/>
        </w:rPr>
        <w:t xml:space="preserve">Alignment of amino acid sequences of LitR </w:t>
      </w:r>
      <w:r w:rsidR="00D0372C">
        <w:rPr>
          <w:rFonts w:ascii="Times New Roman" w:hAnsi="Times New Roman" w:cs="Times New Roman"/>
          <w:lang w:val="en-US"/>
        </w:rPr>
        <w:t>of</w:t>
      </w:r>
      <w:r w:rsidRPr="006212A3">
        <w:rPr>
          <w:rFonts w:ascii="Times New Roman" w:hAnsi="Times New Roman" w:cs="Times New Roman"/>
          <w:lang w:val="en-US"/>
        </w:rPr>
        <w:t xml:space="preserve"> </w:t>
      </w:r>
      <w:r w:rsidRPr="006212A3">
        <w:rPr>
          <w:rFonts w:ascii="Times New Roman" w:hAnsi="Times New Roman" w:cs="Times New Roman"/>
          <w:i/>
          <w:lang w:val="en-US"/>
        </w:rPr>
        <w:t>Aliivibrio logei, Aliivibrio fischeri</w:t>
      </w:r>
      <w:r w:rsidRPr="006212A3">
        <w:rPr>
          <w:rFonts w:ascii="Times New Roman" w:hAnsi="Times New Roman" w:cs="Times New Roman"/>
          <w:lang w:val="en-US"/>
        </w:rPr>
        <w:t xml:space="preserve">, and </w:t>
      </w:r>
      <w:r w:rsidRPr="006212A3">
        <w:rPr>
          <w:rFonts w:ascii="Times New Roman" w:hAnsi="Times New Roman" w:cs="Times New Roman"/>
          <w:i/>
          <w:lang w:val="en-US"/>
        </w:rPr>
        <w:t>Aliivibrio</w:t>
      </w:r>
      <w:r w:rsidR="00B46DA6" w:rsidRPr="006212A3">
        <w:rPr>
          <w:rFonts w:ascii="Times New Roman" w:hAnsi="Times New Roman" w:cs="Times New Roman"/>
          <w:i/>
          <w:lang w:val="en-US"/>
        </w:rPr>
        <w:t> </w:t>
      </w:r>
      <w:r w:rsidRPr="006212A3">
        <w:rPr>
          <w:rFonts w:ascii="Times New Roman" w:hAnsi="Times New Roman" w:cs="Times New Roman"/>
          <w:i/>
          <w:lang w:val="en-US"/>
        </w:rPr>
        <w:t>salmonicida</w:t>
      </w:r>
      <w:r w:rsidRPr="006212A3">
        <w:rPr>
          <w:rFonts w:ascii="Times New Roman" w:hAnsi="Times New Roman" w:cs="Times New Roman"/>
          <w:lang w:val="en-US"/>
        </w:rPr>
        <w:t xml:space="preserve">. DNA-binding </w:t>
      </w:r>
      <w:r w:rsidR="00D0372C">
        <w:rPr>
          <w:rFonts w:ascii="Times New Roman" w:hAnsi="Times New Roman" w:cs="Times New Roman"/>
          <w:lang w:val="en-US"/>
        </w:rPr>
        <w:t>region</w:t>
      </w:r>
      <w:r w:rsidRPr="006212A3">
        <w:rPr>
          <w:rFonts w:ascii="Times New Roman" w:hAnsi="Times New Roman" w:cs="Times New Roman"/>
          <w:lang w:val="en-US"/>
        </w:rPr>
        <w:t xml:space="preserve"> (38-57)</w:t>
      </w:r>
      <w:r w:rsidR="00D0372C">
        <w:rPr>
          <w:rFonts w:ascii="Times New Roman" w:hAnsi="Times New Roman" w:cs="Times New Roman"/>
          <w:lang w:val="en-US"/>
        </w:rPr>
        <w:t xml:space="preserve"> and HTH domain are</w:t>
      </w:r>
      <w:r w:rsidRPr="006212A3">
        <w:rPr>
          <w:rFonts w:ascii="Times New Roman" w:hAnsi="Times New Roman" w:cs="Times New Roman"/>
          <w:lang w:val="en-US"/>
        </w:rPr>
        <w:t xml:space="preserve"> marked</w:t>
      </w:r>
      <w:r w:rsidR="00B46DA6" w:rsidRPr="006212A3">
        <w:rPr>
          <w:rFonts w:ascii="Times New Roman" w:hAnsi="Times New Roman" w:cs="Times New Roman"/>
          <w:lang w:val="en-US"/>
        </w:rPr>
        <w:t xml:space="preserve"> with bracket according to UniProt data</w:t>
      </w:r>
      <w:r w:rsidR="002A28B5">
        <w:rPr>
          <w:rFonts w:ascii="Times New Roman" w:hAnsi="Times New Roman" w:cs="Times New Roman"/>
          <w:lang w:val="en-US"/>
        </w:rPr>
        <w:t xml:space="preserve"> (</w:t>
      </w:r>
      <w:r w:rsidR="002A28B5" w:rsidRPr="002A28B5">
        <w:rPr>
          <w:rFonts w:ascii="Times New Roman" w:hAnsi="Times New Roman" w:cs="Times New Roman"/>
          <w:lang w:val="en-US"/>
        </w:rPr>
        <w:t>A0A1B9P2H3</w:t>
      </w:r>
      <w:r w:rsidR="002A28B5">
        <w:rPr>
          <w:rFonts w:ascii="Times New Roman" w:hAnsi="Times New Roman" w:cs="Times New Roman"/>
          <w:lang w:val="en-US"/>
        </w:rPr>
        <w:t xml:space="preserve">_ALILO, </w:t>
      </w:r>
      <w:r w:rsidR="002A28B5" w:rsidRPr="002A28B5">
        <w:rPr>
          <w:rFonts w:ascii="Times New Roman" w:hAnsi="Times New Roman" w:cs="Times New Roman"/>
          <w:lang w:val="en-US"/>
        </w:rPr>
        <w:t>Q5E2S4_ALIF1</w:t>
      </w:r>
      <w:r w:rsidR="002A28B5">
        <w:rPr>
          <w:rFonts w:ascii="Times New Roman" w:hAnsi="Times New Roman" w:cs="Times New Roman"/>
          <w:lang w:val="en-US"/>
        </w:rPr>
        <w:t xml:space="preserve">, and </w:t>
      </w:r>
      <w:r w:rsidR="002A28B5" w:rsidRPr="002A28B5">
        <w:rPr>
          <w:rFonts w:ascii="Times New Roman" w:hAnsi="Times New Roman" w:cs="Times New Roman"/>
          <w:lang w:val="en-US"/>
        </w:rPr>
        <w:t>B6ELF1_ALISL</w:t>
      </w:r>
      <w:r w:rsidR="002A28B5">
        <w:rPr>
          <w:rFonts w:ascii="Times New Roman" w:hAnsi="Times New Roman" w:cs="Times New Roman"/>
          <w:lang w:val="en-US"/>
        </w:rPr>
        <w:t>, correspondently)</w:t>
      </w:r>
    </w:p>
    <w:p w:rsidR="000A230C" w:rsidRDefault="000A230C" w:rsidP="000A230C">
      <w:pPr>
        <w:rPr>
          <w:rFonts w:ascii="Times New Roman" w:hAnsi="Times New Roman" w:cs="Times New Roman"/>
          <w:lang w:val="en-US"/>
        </w:rPr>
      </w:pPr>
      <w:r>
        <w:rPr>
          <w:noProof/>
          <w:lang w:eastAsia="ru-RU"/>
        </w:rPr>
        <w:drawing>
          <wp:inline distT="0" distB="0" distL="0" distR="0" wp14:anchorId="51075969" wp14:editId="6B4DE50C">
            <wp:extent cx="1941816" cy="314423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89931" cy="3222143"/>
                    </a:xfrm>
                    <a:prstGeom prst="rect">
                      <a:avLst/>
                    </a:prstGeom>
                  </pic:spPr>
                </pic:pic>
              </a:graphicData>
            </a:graphic>
          </wp:inline>
        </w:drawing>
      </w:r>
      <w:r w:rsidRPr="000A230C">
        <w:rPr>
          <w:noProof/>
          <w:lang w:val="en-US" w:eastAsia="ru-RU"/>
        </w:rPr>
        <w:t xml:space="preserve">  </w:t>
      </w:r>
      <w:r>
        <w:rPr>
          <w:noProof/>
          <w:lang w:eastAsia="ru-RU"/>
        </w:rPr>
        <w:drawing>
          <wp:inline distT="0" distB="0" distL="0" distR="0" wp14:anchorId="203CB6A4" wp14:editId="1559212B">
            <wp:extent cx="1949660" cy="314171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15321" cy="3247525"/>
                    </a:xfrm>
                    <a:prstGeom prst="rect">
                      <a:avLst/>
                    </a:prstGeom>
                  </pic:spPr>
                </pic:pic>
              </a:graphicData>
            </a:graphic>
          </wp:inline>
        </w:drawing>
      </w:r>
      <w:r w:rsidR="00E2304A">
        <w:rPr>
          <w:noProof/>
          <w:lang w:eastAsia="ru-RU"/>
        </w:rPr>
        <w:drawing>
          <wp:inline distT="0" distB="0" distL="0" distR="0" wp14:anchorId="3A5C69AB" wp14:editId="064E8EEE">
            <wp:extent cx="1942869" cy="314456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8165" cy="3217882"/>
                    </a:xfrm>
                    <a:prstGeom prst="rect">
                      <a:avLst/>
                    </a:prstGeom>
                  </pic:spPr>
                </pic:pic>
              </a:graphicData>
            </a:graphic>
          </wp:inline>
        </w:drawing>
      </w:r>
    </w:p>
    <w:p w:rsidR="000A230C" w:rsidRDefault="000A230C" w:rsidP="00B46DA6">
      <w:pPr>
        <w:jc w:val="center"/>
        <w:rPr>
          <w:rFonts w:ascii="Times New Roman" w:hAnsi="Times New Roman" w:cs="Times New Roman"/>
          <w:lang w:val="en-US"/>
        </w:rPr>
      </w:pPr>
      <w:r w:rsidRPr="006212A3">
        <w:rPr>
          <w:rFonts w:ascii="Times New Roman" w:hAnsi="Times New Roman" w:cs="Times New Roman"/>
          <w:b/>
          <w:lang w:val="en-US"/>
        </w:rPr>
        <w:t>Figure S</w:t>
      </w:r>
      <w:r>
        <w:rPr>
          <w:rFonts w:ascii="Times New Roman" w:hAnsi="Times New Roman" w:cs="Times New Roman"/>
          <w:b/>
          <w:lang w:val="en-US"/>
        </w:rPr>
        <w:t>3</w:t>
      </w:r>
      <w:r w:rsidRPr="006212A3">
        <w:rPr>
          <w:rFonts w:ascii="Times New Roman" w:hAnsi="Times New Roman" w:cs="Times New Roman"/>
          <w:b/>
          <w:lang w:val="en-US"/>
        </w:rPr>
        <w:t xml:space="preserve"> </w:t>
      </w:r>
      <w:r>
        <w:rPr>
          <w:rFonts w:ascii="Times New Roman" w:hAnsi="Times New Roman" w:cs="Times New Roman"/>
          <w:lang w:val="en-US"/>
        </w:rPr>
        <w:t>Analysis of n</w:t>
      </w:r>
      <w:r w:rsidRPr="000A230C">
        <w:rPr>
          <w:rFonts w:ascii="Times New Roman" w:hAnsi="Times New Roman" w:cs="Times New Roman"/>
          <w:lang w:val="en-US"/>
        </w:rPr>
        <w:t xml:space="preserve">atural </w:t>
      </w:r>
      <w:r>
        <w:rPr>
          <w:rFonts w:ascii="Times New Roman" w:hAnsi="Times New Roman" w:cs="Times New Roman"/>
          <w:lang w:val="en-US"/>
        </w:rPr>
        <w:t>d</w:t>
      </w:r>
      <w:r w:rsidRPr="000A230C">
        <w:rPr>
          <w:rFonts w:ascii="Times New Roman" w:hAnsi="Times New Roman" w:cs="Times New Roman"/>
          <w:lang w:val="en-US"/>
        </w:rPr>
        <w:t xml:space="preserve">isordered </w:t>
      </w:r>
      <w:r>
        <w:rPr>
          <w:rFonts w:ascii="Times New Roman" w:hAnsi="Times New Roman" w:cs="Times New Roman"/>
          <w:lang w:val="en-US"/>
        </w:rPr>
        <w:t>r</w:t>
      </w:r>
      <w:r w:rsidRPr="000A230C">
        <w:rPr>
          <w:rFonts w:ascii="Times New Roman" w:hAnsi="Times New Roman" w:cs="Times New Roman"/>
          <w:lang w:val="en-US"/>
        </w:rPr>
        <w:t>egions</w:t>
      </w:r>
      <w:r>
        <w:rPr>
          <w:rFonts w:ascii="Times New Roman" w:hAnsi="Times New Roman" w:cs="Times New Roman"/>
          <w:lang w:val="en-US"/>
        </w:rPr>
        <w:t xml:space="preserve"> of LitR proteins from </w:t>
      </w:r>
      <w:r>
        <w:rPr>
          <w:rFonts w:ascii="Times New Roman" w:hAnsi="Times New Roman" w:cs="Times New Roman"/>
          <w:i/>
          <w:lang w:val="en-US"/>
        </w:rPr>
        <w:t xml:space="preserve">A. logei, A. fischeri, and A. salmonicida </w:t>
      </w:r>
      <w:r>
        <w:rPr>
          <w:rFonts w:ascii="Times New Roman" w:hAnsi="Times New Roman" w:cs="Times New Roman"/>
          <w:lang w:val="en-US"/>
        </w:rPr>
        <w:t xml:space="preserve">with </w:t>
      </w:r>
      <w:r w:rsidRPr="000A230C">
        <w:rPr>
          <w:rFonts w:ascii="Times New Roman" w:hAnsi="Times New Roman" w:cs="Times New Roman"/>
          <w:lang w:val="en-US"/>
        </w:rPr>
        <w:t>VL-XT, VSL2, VL3, and Charge-Hydropathy instruments at pondr.com</w:t>
      </w:r>
      <w:r>
        <w:rPr>
          <w:rFonts w:ascii="Times New Roman" w:hAnsi="Times New Roman" w:cs="Times New Roman"/>
          <w:lang w:val="en-US"/>
        </w:rPr>
        <w:t xml:space="preserve"> (</w:t>
      </w:r>
      <w:r w:rsidRPr="002A28B5">
        <w:rPr>
          <w:rFonts w:ascii="Times New Roman" w:hAnsi="Times New Roman" w:cs="Times New Roman"/>
          <w:lang w:val="en-US"/>
        </w:rPr>
        <w:t>A0A1B9P2H3</w:t>
      </w:r>
      <w:r>
        <w:rPr>
          <w:rFonts w:ascii="Times New Roman" w:hAnsi="Times New Roman" w:cs="Times New Roman"/>
          <w:lang w:val="en-US"/>
        </w:rPr>
        <w:t xml:space="preserve">_ALILO, </w:t>
      </w:r>
      <w:r w:rsidRPr="002A28B5">
        <w:rPr>
          <w:rFonts w:ascii="Times New Roman" w:hAnsi="Times New Roman" w:cs="Times New Roman"/>
          <w:lang w:val="en-US"/>
        </w:rPr>
        <w:t>Q5E2S4_ALIF1</w:t>
      </w:r>
      <w:r>
        <w:rPr>
          <w:rFonts w:ascii="Times New Roman" w:hAnsi="Times New Roman" w:cs="Times New Roman"/>
          <w:lang w:val="en-US"/>
        </w:rPr>
        <w:t xml:space="preserve">, and </w:t>
      </w:r>
      <w:r w:rsidRPr="002A28B5">
        <w:rPr>
          <w:rFonts w:ascii="Times New Roman" w:hAnsi="Times New Roman" w:cs="Times New Roman"/>
          <w:lang w:val="en-US"/>
        </w:rPr>
        <w:t>B6ELF1_ALISL</w:t>
      </w:r>
      <w:r>
        <w:rPr>
          <w:rFonts w:ascii="Times New Roman" w:hAnsi="Times New Roman" w:cs="Times New Roman"/>
          <w:lang w:val="en-US"/>
        </w:rPr>
        <w:t>, correspondently)</w:t>
      </w:r>
    </w:p>
    <w:p w:rsidR="000A230C" w:rsidRDefault="000A230C" w:rsidP="00B46DA6">
      <w:pPr>
        <w:jc w:val="center"/>
        <w:rPr>
          <w:rFonts w:ascii="Times New Roman" w:hAnsi="Times New Roman" w:cs="Times New Roman"/>
          <w:lang w:val="en-US"/>
        </w:rPr>
      </w:pPr>
    </w:p>
    <w:p w:rsidR="000A230C" w:rsidRDefault="000A230C">
      <w:pPr>
        <w:rPr>
          <w:rFonts w:ascii="Times New Roman" w:hAnsi="Times New Roman" w:cs="Times New Roman"/>
          <w:b/>
          <w:lang w:val="en-US"/>
        </w:rPr>
      </w:pPr>
      <w:r>
        <w:rPr>
          <w:rFonts w:ascii="Times New Roman" w:hAnsi="Times New Roman" w:cs="Times New Roman"/>
          <w:b/>
          <w:lang w:val="en-US"/>
        </w:rPr>
        <w:br w:type="page"/>
      </w:r>
    </w:p>
    <w:p w:rsidR="00B46DA6" w:rsidRDefault="004F3D01" w:rsidP="00B46DA6">
      <w:pPr>
        <w:jc w:val="center"/>
        <w:rPr>
          <w:rFonts w:ascii="Times New Roman" w:hAnsi="Times New Roman" w:cs="Times New Roman"/>
          <w:lang w:val="en-US"/>
        </w:rPr>
      </w:pPr>
      <w:r>
        <w:rPr>
          <w:noProof/>
          <w:lang w:eastAsia="ru-RU"/>
        </w:rPr>
        <w:lastRenderedPageBreak/>
        <w:drawing>
          <wp:inline distT="0" distB="0" distL="0" distR="0">
            <wp:extent cx="2962893" cy="9413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006694" cy="955252"/>
                    </a:xfrm>
                    <a:prstGeom prst="rect">
                      <a:avLst/>
                    </a:prstGeom>
                  </pic:spPr>
                </pic:pic>
              </a:graphicData>
            </a:graphic>
          </wp:inline>
        </w:drawing>
      </w:r>
    </w:p>
    <w:p w:rsidR="004F3D01" w:rsidRPr="004F3D01" w:rsidRDefault="000E7A67" w:rsidP="00B46DA6">
      <w:pPr>
        <w:jc w:val="center"/>
        <w:rPr>
          <w:rFonts w:ascii="Times New Roman" w:hAnsi="Times New Roman" w:cs="Times New Roman"/>
          <w:lang w:val="en-US"/>
        </w:rPr>
      </w:pPr>
      <w:r>
        <w:rPr>
          <w:rFonts w:ascii="Times New Roman" w:hAnsi="Times New Roman" w:cs="Times New Roman"/>
          <w:b/>
          <w:lang w:val="en-US"/>
        </w:rPr>
        <w:t>Fig</w:t>
      </w:r>
      <w:r w:rsidR="004F3D01">
        <w:rPr>
          <w:rFonts w:ascii="Times New Roman" w:hAnsi="Times New Roman" w:cs="Times New Roman"/>
          <w:b/>
          <w:lang w:val="en-US"/>
        </w:rPr>
        <w:t>ure S</w:t>
      </w:r>
      <w:r w:rsidR="00E2304A">
        <w:rPr>
          <w:rFonts w:ascii="Times New Roman" w:hAnsi="Times New Roman" w:cs="Times New Roman"/>
          <w:b/>
          <w:lang w:val="en-US"/>
        </w:rPr>
        <w:t>4</w:t>
      </w:r>
      <w:r w:rsidR="004F3D01">
        <w:rPr>
          <w:rFonts w:ascii="Times New Roman" w:hAnsi="Times New Roman" w:cs="Times New Roman"/>
          <w:b/>
          <w:lang w:val="en-US"/>
        </w:rPr>
        <w:t xml:space="preserve"> </w:t>
      </w:r>
      <w:r w:rsidR="004F3D01">
        <w:rPr>
          <w:rFonts w:ascii="Times New Roman" w:hAnsi="Times New Roman" w:cs="Times New Roman"/>
          <w:lang w:val="en-US"/>
        </w:rPr>
        <w:t xml:space="preserve">Alignment of nucleotide sequence of </w:t>
      </w:r>
      <w:r w:rsidR="004F3D01">
        <w:rPr>
          <w:rFonts w:ascii="Times New Roman" w:hAnsi="Times New Roman" w:cs="Times New Roman"/>
          <w:i/>
          <w:lang w:val="en-US"/>
        </w:rPr>
        <w:t>lux</w:t>
      </w:r>
      <w:r w:rsidR="004F3D01">
        <w:rPr>
          <w:rFonts w:ascii="Times New Roman" w:hAnsi="Times New Roman" w:cs="Times New Roman"/>
          <w:lang w:val="en-US"/>
        </w:rPr>
        <w:t xml:space="preserve">-boxes from </w:t>
      </w:r>
      <w:r w:rsidR="004F3D01">
        <w:rPr>
          <w:rFonts w:ascii="Times New Roman" w:hAnsi="Times New Roman" w:cs="Times New Roman"/>
          <w:i/>
          <w:lang w:val="en-US"/>
        </w:rPr>
        <w:t>A. logei</w:t>
      </w:r>
      <w:r w:rsidR="004F3D01">
        <w:rPr>
          <w:rFonts w:ascii="Times New Roman" w:hAnsi="Times New Roman" w:cs="Times New Roman"/>
          <w:lang w:val="en-US"/>
        </w:rPr>
        <w:t xml:space="preserve"> P</w:t>
      </w:r>
      <w:r w:rsidR="004F3D01">
        <w:rPr>
          <w:rFonts w:ascii="Times New Roman" w:hAnsi="Times New Roman" w:cs="Times New Roman"/>
          <w:i/>
          <w:vertAlign w:val="subscript"/>
          <w:lang w:val="en-US"/>
        </w:rPr>
        <w:t>luxCDABEG</w:t>
      </w:r>
      <w:r w:rsidR="004F3D01">
        <w:rPr>
          <w:rFonts w:ascii="Times New Roman" w:hAnsi="Times New Roman" w:cs="Times New Roman"/>
          <w:lang w:val="en-US"/>
        </w:rPr>
        <w:t xml:space="preserve"> (lb1) and P</w:t>
      </w:r>
      <w:r w:rsidR="004F3D01">
        <w:rPr>
          <w:rFonts w:ascii="Times New Roman" w:hAnsi="Times New Roman" w:cs="Times New Roman"/>
          <w:i/>
          <w:vertAlign w:val="subscript"/>
          <w:lang w:val="en-US"/>
        </w:rPr>
        <w:t>luxI</w:t>
      </w:r>
      <w:r w:rsidR="004F3D01">
        <w:rPr>
          <w:rFonts w:ascii="Times New Roman" w:hAnsi="Times New Roman" w:cs="Times New Roman"/>
          <w:lang w:val="en-US"/>
        </w:rPr>
        <w:t xml:space="preserve"> (lb2). </w:t>
      </w:r>
      <w:r w:rsidR="004F3D01">
        <w:rPr>
          <w:rFonts w:ascii="Times New Roman" w:hAnsi="Times New Roman" w:cs="Times New Roman"/>
          <w:i/>
          <w:lang w:val="en-US"/>
        </w:rPr>
        <w:t>lux</w:t>
      </w:r>
      <w:r w:rsidR="004F3D01">
        <w:rPr>
          <w:rFonts w:ascii="Times New Roman" w:hAnsi="Times New Roman" w:cs="Times New Roman"/>
          <w:lang w:val="en-US"/>
        </w:rPr>
        <w:t>-box is 20-bp inverted repeat in promoter upstream region</w:t>
      </w:r>
      <w:r w:rsidR="004F3D01">
        <w:rPr>
          <w:rFonts w:ascii="Times New Roman" w:hAnsi="Times New Roman" w:cs="Times New Roman"/>
          <w:i/>
          <w:lang w:val="en-US"/>
        </w:rPr>
        <w:t xml:space="preserve"> - Aliivibrio </w:t>
      </w:r>
      <w:r w:rsidR="004F3D01">
        <w:rPr>
          <w:rFonts w:ascii="Times New Roman" w:hAnsi="Times New Roman" w:cs="Times New Roman"/>
          <w:lang w:val="en-US"/>
        </w:rPr>
        <w:t xml:space="preserve">LuxR binding site. Dark blue highlights core positions essential for LuxR binding, green – palindromic positions. Stars marks 5 positions, in which </w:t>
      </w:r>
      <w:r w:rsidR="004F3D01">
        <w:rPr>
          <w:rFonts w:ascii="Times New Roman" w:hAnsi="Times New Roman" w:cs="Times New Roman"/>
          <w:i/>
          <w:lang w:val="en-US"/>
        </w:rPr>
        <w:t>lux</w:t>
      </w:r>
      <w:r w:rsidR="004F3D01">
        <w:rPr>
          <w:rFonts w:ascii="Times New Roman" w:hAnsi="Times New Roman" w:cs="Times New Roman"/>
          <w:lang w:val="en-US"/>
        </w:rPr>
        <w:t xml:space="preserve">-boxes from </w:t>
      </w:r>
      <w:r w:rsidR="004F3D01">
        <w:rPr>
          <w:rFonts w:ascii="Times New Roman" w:hAnsi="Times New Roman" w:cs="Times New Roman"/>
          <w:i/>
          <w:lang w:val="en-US"/>
        </w:rPr>
        <w:t>A. logei</w:t>
      </w:r>
      <w:r w:rsidR="004F3D01">
        <w:rPr>
          <w:rFonts w:ascii="Times New Roman" w:hAnsi="Times New Roman" w:cs="Times New Roman"/>
          <w:lang w:val="en-US"/>
        </w:rPr>
        <w:t xml:space="preserve"> P</w:t>
      </w:r>
      <w:r w:rsidR="004F3D01">
        <w:rPr>
          <w:rFonts w:ascii="Times New Roman" w:hAnsi="Times New Roman" w:cs="Times New Roman"/>
          <w:i/>
          <w:vertAlign w:val="subscript"/>
          <w:lang w:val="en-US"/>
        </w:rPr>
        <w:t>luxCDABEG</w:t>
      </w:r>
      <w:r w:rsidR="004F3D01">
        <w:rPr>
          <w:rFonts w:ascii="Times New Roman" w:hAnsi="Times New Roman" w:cs="Times New Roman"/>
          <w:lang w:val="en-US"/>
        </w:rPr>
        <w:t xml:space="preserve"> and P</w:t>
      </w:r>
      <w:r w:rsidR="004F3D01">
        <w:rPr>
          <w:rFonts w:ascii="Times New Roman" w:hAnsi="Times New Roman" w:cs="Times New Roman"/>
          <w:i/>
          <w:vertAlign w:val="subscript"/>
          <w:lang w:val="en-US"/>
        </w:rPr>
        <w:t>luxI</w:t>
      </w:r>
      <w:r w:rsidR="004F3D01">
        <w:rPr>
          <w:rFonts w:ascii="Times New Roman" w:hAnsi="Times New Roman" w:cs="Times New Roman"/>
          <w:lang w:val="en-US"/>
        </w:rPr>
        <w:t xml:space="preserve"> differ.</w:t>
      </w:r>
    </w:p>
    <w:p w:rsidR="004F3D01" w:rsidRPr="006212A3" w:rsidRDefault="004F3D01" w:rsidP="00B46DA6">
      <w:pPr>
        <w:jc w:val="center"/>
        <w:rPr>
          <w:rFonts w:ascii="Times New Roman" w:hAnsi="Times New Roman" w:cs="Times New Roman"/>
          <w:lang w:val="en-US"/>
        </w:rPr>
      </w:pPr>
    </w:p>
    <w:p w:rsidR="00B46DA6" w:rsidRPr="006212A3" w:rsidRDefault="00B46DA6" w:rsidP="00B46DA6">
      <w:pPr>
        <w:jc w:val="both"/>
        <w:rPr>
          <w:rFonts w:ascii="Times New Roman" w:hAnsi="Times New Roman" w:cs="Times New Roman"/>
          <w:b/>
          <w:lang w:val="en-US"/>
        </w:rPr>
      </w:pPr>
      <w:r w:rsidRPr="006212A3">
        <w:rPr>
          <w:rFonts w:ascii="Times New Roman" w:hAnsi="Times New Roman" w:cs="Times New Roman"/>
          <w:lang w:val="en-US"/>
        </w:rPr>
        <w:tab/>
      </w:r>
      <w:r w:rsidRPr="006212A3">
        <w:rPr>
          <w:rFonts w:ascii="Times New Roman" w:hAnsi="Times New Roman" w:cs="Times New Roman"/>
          <w:b/>
          <w:lang w:val="en-US"/>
        </w:rPr>
        <w:t>Plasmid constructing</w:t>
      </w:r>
    </w:p>
    <w:p w:rsidR="0021007C" w:rsidRPr="00657188" w:rsidRDefault="00B46DA6" w:rsidP="00455CA4">
      <w:pPr>
        <w:jc w:val="both"/>
        <w:rPr>
          <w:rFonts w:ascii="Times New Roman" w:hAnsi="Times New Roman" w:cs="Times New Roman"/>
          <w:lang w:val="en-US"/>
        </w:rPr>
      </w:pPr>
      <w:r w:rsidRPr="006212A3">
        <w:rPr>
          <w:rFonts w:ascii="Times New Roman" w:hAnsi="Times New Roman" w:cs="Times New Roman"/>
          <w:b/>
          <w:lang w:val="en-US"/>
        </w:rPr>
        <w:tab/>
      </w:r>
      <w:r w:rsidRPr="00657188">
        <w:rPr>
          <w:rFonts w:ascii="Times New Roman" w:hAnsi="Times New Roman" w:cs="Times New Roman"/>
          <w:lang w:val="en-US"/>
        </w:rPr>
        <w:t xml:space="preserve">p15Tc-litR </w:t>
      </w:r>
      <w:r w:rsidR="00E2304A" w:rsidRPr="00657188">
        <w:rPr>
          <w:rFonts w:ascii="Times New Roman" w:hAnsi="Times New Roman" w:cs="Times New Roman"/>
          <w:lang w:val="en-US"/>
        </w:rPr>
        <w:t>plasmid</w:t>
      </w:r>
      <w:r w:rsidRPr="00657188">
        <w:rPr>
          <w:rFonts w:ascii="Times New Roman" w:hAnsi="Times New Roman" w:cs="Times New Roman"/>
          <w:lang w:val="en-US"/>
        </w:rPr>
        <w:t xml:space="preserve"> </w:t>
      </w:r>
      <w:r w:rsidR="00FF1473" w:rsidRPr="00657188">
        <w:rPr>
          <w:rFonts w:ascii="Times New Roman" w:hAnsi="Times New Roman" w:cs="Times New Roman"/>
          <w:lang w:val="en-US"/>
        </w:rPr>
        <w:t xml:space="preserve">(sequence in GenBank format is given </w:t>
      </w:r>
      <w:r w:rsidR="00FF1473">
        <w:rPr>
          <w:rFonts w:ascii="Times New Roman" w:hAnsi="Times New Roman" w:cs="Times New Roman"/>
          <w:lang w:val="en-US"/>
        </w:rPr>
        <w:t>as separate file in Supplementary</w:t>
      </w:r>
      <w:r w:rsidR="00FF1473" w:rsidRPr="00657188">
        <w:rPr>
          <w:rFonts w:ascii="Times New Roman" w:hAnsi="Times New Roman" w:cs="Times New Roman"/>
          <w:lang w:val="en-US"/>
        </w:rPr>
        <w:t xml:space="preserve">) </w:t>
      </w:r>
      <w:r w:rsidRPr="00657188">
        <w:rPr>
          <w:rFonts w:ascii="Times New Roman" w:hAnsi="Times New Roman" w:cs="Times New Roman"/>
          <w:lang w:val="en-US"/>
        </w:rPr>
        <w:t>w</w:t>
      </w:r>
      <w:r w:rsidR="00E2304A" w:rsidRPr="00657188">
        <w:rPr>
          <w:rFonts w:ascii="Times New Roman" w:hAnsi="Times New Roman" w:cs="Times New Roman"/>
          <w:lang w:val="en-US"/>
        </w:rPr>
        <w:t>as</w:t>
      </w:r>
      <w:r w:rsidRPr="00657188">
        <w:rPr>
          <w:rFonts w:ascii="Times New Roman" w:hAnsi="Times New Roman" w:cs="Times New Roman"/>
          <w:lang w:val="en-US"/>
        </w:rPr>
        <w:t xml:space="preserve"> constructed on base of p15</w:t>
      </w:r>
      <w:bookmarkStart w:id="0" w:name="_GoBack"/>
      <w:bookmarkEnd w:id="0"/>
      <w:r w:rsidRPr="00657188">
        <w:rPr>
          <w:rFonts w:ascii="Times New Roman" w:hAnsi="Times New Roman" w:cs="Times New Roman"/>
          <w:lang w:val="en-US"/>
        </w:rPr>
        <w:t>Tc-lac vector</w:t>
      </w:r>
      <w:r w:rsidR="007953D7">
        <w:rPr>
          <w:rFonts w:ascii="Times New Roman" w:hAnsi="Times New Roman" w:cs="Times New Roman"/>
          <w:lang w:val="en-US"/>
        </w:rPr>
        <w:t xml:space="preserve"> </w:t>
      </w:r>
      <w:r w:rsidR="007953D7">
        <w:rPr>
          <w:rStyle w:val="aa"/>
          <w:rFonts w:ascii="Times New Roman" w:hAnsi="Times New Roman" w:cs="Times New Roman"/>
          <w:lang w:val="en-US"/>
        </w:rPr>
        <w:fldChar w:fldCharType="begin" w:fldLock="1"/>
      </w:r>
      <w:r w:rsidR="007953D7">
        <w:rPr>
          <w:rFonts w:ascii="Times New Roman" w:hAnsi="Times New Roman" w:cs="Times New Roman"/>
          <w:lang w:val="en-US"/>
        </w:rPr>
        <w:instrText>ADDIN CSL_CITATION {"citationItems":[{"id":"ITEM-1","itemData":{"DOI":"10.3390/bios11060166","ISSN":"2079-6374","abstract":"&lt;p&gt;Aliivibrio fischeri LuxR and Aliivibrio logei LuxR1 and LuxR2 regulatory proteins are quorum sensing transcriptional (QS) activators, inducing promoters of luxICDABEG genes in the presence of an autoinducer (3-oxo-hexanoyl-l-homoserine lactone). In the Aliivibrio cells, luxR genes are regulated by HNS, CRP, LitR, etc. Here we investigated the role of the luxR expression level in LuxI/R QS system functionality and improved the whole-cell biosensor for autoinducer detection. Escherichia coli-based bacterial lux-biosensors were used, in which Photorhabdus luminescensluxCDABE genes were controlled by LuxR-dependent promoters and luxR, luxR1, or luxR2 regulatory genes. We varied either the dosage of the regulatory gene in the cells using additional plasmids, or the level of the regulatory gene expression using the lactose operon promoter. It was shown that an increase in expression level, as well as dosage of the regulatory gene in biosensor cells, leads to an increase in sensitivity (the threshold concentration of AI is reduced by one order of magnitude) and to a two to threefold reduction in response time. The best parameters were obtained for a biosensor with an increased dosage of luxRA. fischeri (sensitivity to 3-oxo-hexanoyl-l-homoserine lactone reached 30–100 pM).&lt;/p&gt;","author":[{"dropping-particle":"","family":"Bazhenov","given":"Sergey","non-dropping-particle":"","parse-names":false,"suffix":""},{"dropping-particle":"","family":"Novoyatlova","given":"Uliana","non-dropping-particle":"","parse-names":false,"suffix":""},{"dropping-particle":"","family":"Scheglova","given":"Ekaterina","non-dropping-particle":"","parse-names":false,"suffix":""},{"dropping-particle":"","family":"Fomin","given":"Vadim","non-dropping-particle":"","parse-names":false,"suffix":""},{"dropping-particle":"","family":"Khrulnova","given":"Svetlana","non-dropping-particle":"","parse-names":false,"suffix":""},{"dropping-particle":"","family":"Melkina","given":"Olga","non-dropping-particle":"","parse-names":false,"suffix":""},{"dropping-particle":"","family":"Chistyakov","given":"Vladimir","non-dropping-particle":"","parse-names":false,"suffix":""},{"dropping-particle":"","family":"Manukhov","given":"Ilya","non-dropping-particle":"","parse-names":false,"suffix":""}],"container-title":"Biosensors","id":"ITEM-1","issue":"6","issued":{"date-parts":[["2021","5","23"]]},"page":"166","publisher":"Multidisciplinary Digital Publishing Institute","title":"Influence of the luxR Regulatory Gene Dosage and Expression Level on the Sensitivity of the Whole-Cell Biosensor to Acyl-Homoserine Lactone","type":"article-journal","volume":"11"},"uris":["http://www.mendeley.com/documents/?uuid=49353501-e853-37b3-87f4-174fa91e95dc"]}],"mendeley":{"formattedCitation":"(Bazhenov et al., 2021)","plainTextFormattedCitation":"(Bazhenov et al., 2021)","previouslyFormattedCitation":"[1]"},"properties":{"noteIndex":0},"schema":"https://github.com/citation-style-language/schema/raw/master/csl-citation.json"}</w:instrText>
      </w:r>
      <w:r w:rsidR="007953D7">
        <w:rPr>
          <w:rStyle w:val="aa"/>
          <w:rFonts w:ascii="Times New Roman" w:hAnsi="Times New Roman" w:cs="Times New Roman"/>
          <w:lang w:val="en-US"/>
        </w:rPr>
        <w:fldChar w:fldCharType="separate"/>
      </w:r>
      <w:r w:rsidR="007953D7" w:rsidRPr="007953D7">
        <w:rPr>
          <w:rFonts w:ascii="Times New Roman" w:hAnsi="Times New Roman" w:cs="Times New Roman"/>
          <w:bCs/>
          <w:noProof/>
          <w:lang w:val="en-US"/>
        </w:rPr>
        <w:t>(Bazhenov et al., 2021)</w:t>
      </w:r>
      <w:r w:rsidR="007953D7">
        <w:rPr>
          <w:rStyle w:val="aa"/>
          <w:rFonts w:ascii="Times New Roman" w:hAnsi="Times New Roman" w:cs="Times New Roman"/>
          <w:lang w:val="en-US"/>
        </w:rPr>
        <w:fldChar w:fldCharType="end"/>
      </w:r>
      <w:r w:rsidR="0021007C" w:rsidRPr="00657188">
        <w:rPr>
          <w:rFonts w:ascii="Times New Roman" w:hAnsi="Times New Roman" w:cs="Times New Roman"/>
          <w:lang w:val="en-US"/>
        </w:rPr>
        <w:t>,</w:t>
      </w:r>
      <w:r w:rsidR="0000099C" w:rsidRPr="00657188">
        <w:rPr>
          <w:rFonts w:ascii="Times New Roman" w:hAnsi="Times New Roman" w:cs="Times New Roman"/>
          <w:lang w:val="en-US"/>
        </w:rPr>
        <w:t xml:space="preserve"> </w:t>
      </w:r>
      <w:r w:rsidR="0000099C" w:rsidRPr="00657188">
        <w:rPr>
          <w:rFonts w:ascii="Times New Roman" w:hAnsi="Times New Roman" w:cs="Times New Roman"/>
          <w:i/>
          <w:lang w:val="en-US"/>
        </w:rPr>
        <w:t>litR</w:t>
      </w:r>
      <w:r w:rsidR="0000099C" w:rsidRPr="00657188">
        <w:rPr>
          <w:rFonts w:ascii="Times New Roman" w:hAnsi="Times New Roman" w:cs="Times New Roman"/>
          <w:lang w:val="en-US"/>
        </w:rPr>
        <w:t xml:space="preserve"> gene was amplified with primers litRDEco</w:t>
      </w:r>
      <w:r w:rsidR="0021007C" w:rsidRPr="00657188">
        <w:rPr>
          <w:rFonts w:ascii="Times New Roman" w:hAnsi="Times New Roman" w:cs="Times New Roman"/>
          <w:lang w:val="en-US"/>
        </w:rPr>
        <w:t xml:space="preserve"> and litRRKpn</w:t>
      </w:r>
      <w:r w:rsidR="0000099C" w:rsidRPr="00657188">
        <w:rPr>
          <w:rFonts w:ascii="Times New Roman" w:hAnsi="Times New Roman" w:cs="Times New Roman"/>
          <w:lang w:val="en-US"/>
        </w:rPr>
        <w:t xml:space="preserve"> </w:t>
      </w:r>
      <w:r w:rsidR="0021007C" w:rsidRPr="00657188">
        <w:rPr>
          <w:rFonts w:ascii="Times New Roman" w:hAnsi="Times New Roman" w:cs="Times New Roman"/>
          <w:lang w:val="en-US"/>
        </w:rPr>
        <w:t>from gDNA of</w:t>
      </w:r>
      <w:r w:rsidR="0000099C" w:rsidRPr="00657188">
        <w:rPr>
          <w:rFonts w:ascii="Times New Roman" w:hAnsi="Times New Roman" w:cs="Times New Roman"/>
          <w:lang w:val="en-US"/>
        </w:rPr>
        <w:t xml:space="preserve"> </w:t>
      </w:r>
      <w:r w:rsidR="0000099C" w:rsidRPr="00657188">
        <w:rPr>
          <w:rFonts w:ascii="Times New Roman" w:hAnsi="Times New Roman" w:cs="Times New Roman"/>
          <w:i/>
          <w:lang w:val="en-US"/>
        </w:rPr>
        <w:t xml:space="preserve">A. logei </w:t>
      </w:r>
      <w:r w:rsidR="0000099C" w:rsidRPr="00657188">
        <w:rPr>
          <w:rFonts w:ascii="Times New Roman" w:hAnsi="Times New Roman" w:cs="Times New Roman"/>
          <w:lang w:val="en-US"/>
        </w:rPr>
        <w:t>Skal and inserted in EcoRI/KpnI restriction sites of p15Tc-lac.</w:t>
      </w:r>
    </w:p>
    <w:p w:rsidR="00125963" w:rsidRPr="00657188" w:rsidRDefault="00125963" w:rsidP="00455CA4">
      <w:pPr>
        <w:jc w:val="both"/>
        <w:rPr>
          <w:rFonts w:ascii="Times New Roman" w:hAnsi="Times New Roman" w:cs="Times New Roman"/>
          <w:lang w:val="en-US"/>
        </w:rPr>
      </w:pPr>
      <w:r w:rsidRPr="00657188">
        <w:rPr>
          <w:rFonts w:ascii="Times New Roman" w:hAnsi="Times New Roman" w:cs="Times New Roman"/>
          <w:lang w:val="en-US"/>
        </w:rPr>
        <w:tab/>
        <w:t xml:space="preserve">pAS1 and pAS2 </w:t>
      </w:r>
      <w:r w:rsidR="00657188">
        <w:rPr>
          <w:rFonts w:ascii="Times New Roman" w:hAnsi="Times New Roman" w:cs="Times New Roman"/>
          <w:lang w:val="en-US"/>
        </w:rPr>
        <w:t xml:space="preserve">plasmids were obtained by introducing into pDEW201 promoter-probe vector by </w:t>
      </w:r>
      <w:r w:rsidR="00657188" w:rsidRPr="00657188">
        <w:rPr>
          <w:rFonts w:ascii="Times New Roman" w:hAnsi="Times New Roman" w:cs="Times New Roman"/>
          <w:lang w:val="en-US"/>
        </w:rPr>
        <w:t>EcoRI/BamHI restriction sites</w:t>
      </w:r>
      <w:r w:rsidR="00657188">
        <w:rPr>
          <w:rFonts w:ascii="Times New Roman" w:hAnsi="Times New Roman" w:cs="Times New Roman"/>
          <w:lang w:val="en-US"/>
        </w:rPr>
        <w:t xml:space="preserve"> of two fragments of </w:t>
      </w:r>
      <w:r w:rsidR="00657188">
        <w:rPr>
          <w:rFonts w:ascii="Times New Roman" w:hAnsi="Times New Roman" w:cs="Times New Roman"/>
          <w:i/>
          <w:lang w:val="en-US"/>
        </w:rPr>
        <w:t xml:space="preserve">A. logei </w:t>
      </w:r>
      <w:r w:rsidR="00657188">
        <w:rPr>
          <w:rFonts w:ascii="Times New Roman" w:hAnsi="Times New Roman" w:cs="Times New Roman"/>
          <w:lang w:val="en-US"/>
        </w:rPr>
        <w:t xml:space="preserve">KCh1 gDNA: (1) </w:t>
      </w:r>
      <w:r w:rsidR="00657188">
        <w:rPr>
          <w:rFonts w:ascii="Times New Roman" w:hAnsi="Times New Roman" w:cs="Times New Roman"/>
          <w:i/>
          <w:lang w:val="en-US"/>
        </w:rPr>
        <w:t>luxR1</w:t>
      </w:r>
      <w:r w:rsidR="00657188">
        <w:rPr>
          <w:rFonts w:ascii="Times New Roman" w:hAnsi="Times New Roman" w:cs="Times New Roman"/>
          <w:lang w:val="en-US"/>
        </w:rPr>
        <w:t xml:space="preserve"> gene with P</w:t>
      </w:r>
      <w:r w:rsidR="00657188">
        <w:rPr>
          <w:rFonts w:ascii="Times New Roman" w:hAnsi="Times New Roman" w:cs="Times New Roman"/>
          <w:i/>
          <w:vertAlign w:val="subscript"/>
          <w:lang w:val="en-US"/>
        </w:rPr>
        <w:t>luxR1</w:t>
      </w:r>
      <w:r w:rsidR="00657188">
        <w:rPr>
          <w:rFonts w:ascii="Times New Roman" w:hAnsi="Times New Roman" w:cs="Times New Roman"/>
          <w:lang w:val="en-US"/>
        </w:rPr>
        <w:t xml:space="preserve"> and P</w:t>
      </w:r>
      <w:r w:rsidR="00657188">
        <w:rPr>
          <w:rFonts w:ascii="Times New Roman" w:hAnsi="Times New Roman" w:cs="Times New Roman"/>
          <w:i/>
          <w:vertAlign w:val="subscript"/>
          <w:lang w:val="en-US"/>
        </w:rPr>
        <w:t>luxCDABEG</w:t>
      </w:r>
      <w:r w:rsidR="00657188">
        <w:rPr>
          <w:rFonts w:ascii="Times New Roman" w:hAnsi="Times New Roman" w:cs="Times New Roman"/>
          <w:lang w:val="en-US"/>
        </w:rPr>
        <w:t xml:space="preserve"> promoters and (2) </w:t>
      </w:r>
      <w:r w:rsidR="00657188">
        <w:rPr>
          <w:rFonts w:ascii="Times New Roman" w:hAnsi="Times New Roman" w:cs="Times New Roman"/>
          <w:i/>
          <w:lang w:val="en-US"/>
        </w:rPr>
        <w:t xml:space="preserve">luxR2 </w:t>
      </w:r>
      <w:r w:rsidR="00657188">
        <w:rPr>
          <w:rFonts w:ascii="Times New Roman" w:hAnsi="Times New Roman" w:cs="Times New Roman"/>
          <w:lang w:val="en-US"/>
        </w:rPr>
        <w:t>gene with P</w:t>
      </w:r>
      <w:r w:rsidR="00657188">
        <w:rPr>
          <w:rFonts w:ascii="Times New Roman" w:hAnsi="Times New Roman" w:cs="Times New Roman"/>
          <w:i/>
          <w:vertAlign w:val="subscript"/>
          <w:lang w:val="en-US"/>
        </w:rPr>
        <w:t>luxR2</w:t>
      </w:r>
      <w:r w:rsidR="00657188">
        <w:rPr>
          <w:rFonts w:ascii="Times New Roman" w:hAnsi="Times New Roman" w:cs="Times New Roman"/>
          <w:lang w:val="en-US"/>
        </w:rPr>
        <w:t xml:space="preserve"> and P</w:t>
      </w:r>
      <w:r w:rsidR="00657188">
        <w:rPr>
          <w:rFonts w:ascii="Times New Roman" w:hAnsi="Times New Roman" w:cs="Times New Roman"/>
          <w:i/>
          <w:vertAlign w:val="subscript"/>
          <w:lang w:val="en-US"/>
        </w:rPr>
        <w:t>luxI</w:t>
      </w:r>
      <w:r w:rsidR="00657188">
        <w:rPr>
          <w:rFonts w:ascii="Times New Roman" w:hAnsi="Times New Roman" w:cs="Times New Roman"/>
          <w:lang w:val="en-US"/>
        </w:rPr>
        <w:t xml:space="preserve"> promotes. Fragment (1) was amplified with use of luxR1(end) and SV1dir primers, fragment (2) ― luxR2(RevSt) and revpl1 primers. The PCR products were cloned into pTZ57R/T vector </w:t>
      </w:r>
      <w:r w:rsidR="00657188" w:rsidRPr="00657188">
        <w:rPr>
          <w:rFonts w:ascii="Times New Roman" w:hAnsi="Times New Roman" w:cs="Times New Roman"/>
          <w:lang w:val="en-US"/>
        </w:rPr>
        <w:t>(Fermentas, USA)</w:t>
      </w:r>
      <w:r w:rsidR="00657188">
        <w:rPr>
          <w:rFonts w:ascii="Times New Roman" w:hAnsi="Times New Roman" w:cs="Times New Roman"/>
          <w:lang w:val="en-US"/>
        </w:rPr>
        <w:t xml:space="preserve"> and then were transferred to pDEW201 by EcoRI and BamHI restriction sites.</w:t>
      </w:r>
    </w:p>
    <w:p w:rsidR="00125963" w:rsidRPr="00657188" w:rsidRDefault="00125963" w:rsidP="00455CA4">
      <w:pPr>
        <w:jc w:val="both"/>
        <w:rPr>
          <w:rFonts w:ascii="Times New Roman" w:hAnsi="Times New Roman" w:cs="Times New Roman"/>
          <w:lang w:val="en-US"/>
        </w:rPr>
      </w:pPr>
      <w:r w:rsidRPr="00657188">
        <w:rPr>
          <w:rFonts w:ascii="Times New Roman" w:hAnsi="Times New Roman" w:cs="Times New Roman"/>
          <w:lang w:val="en-US"/>
        </w:rPr>
        <w:tab/>
      </w:r>
      <w:r w:rsidR="00800169" w:rsidRPr="00657188">
        <w:rPr>
          <w:rFonts w:ascii="Times New Roman" w:hAnsi="Times New Roman" w:cs="Times New Roman"/>
          <w:lang w:val="en-US"/>
        </w:rPr>
        <w:t xml:space="preserve">To obtain the </w:t>
      </w:r>
      <w:r w:rsidRPr="00657188">
        <w:rPr>
          <w:rFonts w:ascii="Times New Roman" w:hAnsi="Times New Roman" w:cs="Times New Roman"/>
          <w:lang w:val="en-US"/>
        </w:rPr>
        <w:t>pR2 and pDewP2rev</w:t>
      </w:r>
      <w:r w:rsidR="00800169" w:rsidRPr="00657188">
        <w:rPr>
          <w:rFonts w:ascii="Times New Roman" w:hAnsi="Times New Roman" w:cs="Times New Roman"/>
          <w:lang w:val="en-US"/>
        </w:rPr>
        <w:t xml:space="preserve"> plasmids DNA fragment of KCh1 gDNA</w:t>
      </w:r>
      <w:r w:rsidR="00657188" w:rsidRPr="00657188">
        <w:rPr>
          <w:rFonts w:ascii="Times New Roman" w:hAnsi="Times New Roman" w:cs="Times New Roman"/>
          <w:lang w:val="en-US"/>
        </w:rPr>
        <w:t xml:space="preserve">, containing </w:t>
      </w:r>
      <w:r w:rsidR="007953D7" w:rsidRPr="00657188">
        <w:rPr>
          <w:rFonts w:ascii="Times New Roman" w:hAnsi="Times New Roman" w:cs="Times New Roman"/>
          <w:lang w:val="en-US"/>
        </w:rPr>
        <w:t>divergent</w:t>
      </w:r>
      <w:r w:rsidR="00657188" w:rsidRPr="00657188">
        <w:rPr>
          <w:rFonts w:ascii="Times New Roman" w:hAnsi="Times New Roman" w:cs="Times New Roman"/>
          <w:lang w:val="en-US"/>
        </w:rPr>
        <w:t xml:space="preserve"> P</w:t>
      </w:r>
      <w:r w:rsidR="00657188" w:rsidRPr="00657188">
        <w:rPr>
          <w:rFonts w:ascii="Times New Roman" w:hAnsi="Times New Roman" w:cs="Times New Roman"/>
          <w:i/>
          <w:vertAlign w:val="subscript"/>
          <w:lang w:val="en-US"/>
        </w:rPr>
        <w:t>luxI</w:t>
      </w:r>
      <w:r w:rsidR="00657188" w:rsidRPr="00657188">
        <w:rPr>
          <w:rFonts w:ascii="Times New Roman" w:hAnsi="Times New Roman" w:cs="Times New Roman"/>
          <w:lang w:val="en-US"/>
        </w:rPr>
        <w:t xml:space="preserve"> and P</w:t>
      </w:r>
      <w:r w:rsidR="00657188" w:rsidRPr="00657188">
        <w:rPr>
          <w:rFonts w:ascii="Times New Roman" w:hAnsi="Times New Roman" w:cs="Times New Roman"/>
          <w:i/>
          <w:vertAlign w:val="subscript"/>
          <w:lang w:val="en-US"/>
        </w:rPr>
        <w:t>luxR2</w:t>
      </w:r>
      <w:r w:rsidR="00657188" w:rsidRPr="00657188">
        <w:rPr>
          <w:rFonts w:ascii="Times New Roman" w:hAnsi="Times New Roman" w:cs="Times New Roman"/>
          <w:lang w:val="en-US"/>
        </w:rPr>
        <w:t xml:space="preserve"> promoters,</w:t>
      </w:r>
      <w:r w:rsidR="00800169" w:rsidRPr="00657188">
        <w:rPr>
          <w:rFonts w:ascii="Times New Roman" w:hAnsi="Times New Roman" w:cs="Times New Roman"/>
          <w:lang w:val="en-US"/>
        </w:rPr>
        <w:t xml:space="preserve"> was amplified </w:t>
      </w:r>
      <w:r w:rsidR="00657188" w:rsidRPr="00657188">
        <w:rPr>
          <w:rFonts w:ascii="Times New Roman" w:hAnsi="Times New Roman" w:cs="Times New Roman"/>
          <w:lang w:val="en-US"/>
        </w:rPr>
        <w:t xml:space="preserve">with use of P2Irev and P2R2rev primers and then was introduced into EcoRI site of pDEW201. Two opposite orientations of insertion gave two lux-reporter plasmids: lux-reporter for </w:t>
      </w:r>
      <w:r w:rsidR="00657188" w:rsidRPr="00657188">
        <w:rPr>
          <w:rFonts w:ascii="Times New Roman" w:hAnsi="Times New Roman" w:cs="Times New Roman"/>
          <w:i/>
          <w:lang w:val="en-US"/>
        </w:rPr>
        <w:t>A. logei</w:t>
      </w:r>
      <w:r w:rsidR="00657188" w:rsidRPr="00657188">
        <w:rPr>
          <w:rFonts w:ascii="Times New Roman" w:hAnsi="Times New Roman" w:cs="Times New Roman"/>
          <w:lang w:val="en-US"/>
        </w:rPr>
        <w:t xml:space="preserve"> P</w:t>
      </w:r>
      <w:r w:rsidR="00657188" w:rsidRPr="00657188">
        <w:rPr>
          <w:rFonts w:ascii="Times New Roman" w:hAnsi="Times New Roman" w:cs="Times New Roman"/>
          <w:i/>
          <w:vertAlign w:val="subscript"/>
          <w:lang w:val="en-US"/>
        </w:rPr>
        <w:t>luxI</w:t>
      </w:r>
      <w:r w:rsidR="00800169" w:rsidRPr="00657188">
        <w:rPr>
          <w:rFonts w:ascii="Times New Roman" w:hAnsi="Times New Roman" w:cs="Times New Roman"/>
          <w:lang w:val="en-US"/>
        </w:rPr>
        <w:t xml:space="preserve"> w</w:t>
      </w:r>
      <w:r w:rsidR="00657188" w:rsidRPr="00657188">
        <w:rPr>
          <w:rFonts w:ascii="Times New Roman" w:hAnsi="Times New Roman" w:cs="Times New Roman"/>
          <w:lang w:val="en-US"/>
        </w:rPr>
        <w:t>h</w:t>
      </w:r>
      <w:r w:rsidR="00800169" w:rsidRPr="00657188">
        <w:rPr>
          <w:rFonts w:ascii="Times New Roman" w:hAnsi="Times New Roman" w:cs="Times New Roman"/>
          <w:lang w:val="en-US"/>
        </w:rPr>
        <w:t xml:space="preserve">ere </w:t>
      </w:r>
      <w:r w:rsidR="00657188" w:rsidRPr="00657188">
        <w:rPr>
          <w:rFonts w:ascii="Times New Roman" w:hAnsi="Times New Roman" w:cs="Times New Roman"/>
          <w:i/>
          <w:lang w:val="en-US"/>
        </w:rPr>
        <w:t xml:space="preserve">P. luminescens luxCDABE </w:t>
      </w:r>
      <w:r w:rsidR="00657188" w:rsidRPr="00657188">
        <w:rPr>
          <w:rFonts w:ascii="Times New Roman" w:hAnsi="Times New Roman" w:cs="Times New Roman"/>
          <w:lang w:val="en-US"/>
        </w:rPr>
        <w:t>genes are fused with P</w:t>
      </w:r>
      <w:r w:rsidR="00657188" w:rsidRPr="00657188">
        <w:rPr>
          <w:rFonts w:ascii="Times New Roman" w:hAnsi="Times New Roman" w:cs="Times New Roman"/>
          <w:i/>
          <w:vertAlign w:val="subscript"/>
          <w:lang w:val="en-US"/>
        </w:rPr>
        <w:t>luxI</w:t>
      </w:r>
      <w:r w:rsidR="00657188" w:rsidRPr="00657188">
        <w:rPr>
          <w:rFonts w:ascii="Times New Roman" w:hAnsi="Times New Roman" w:cs="Times New Roman"/>
          <w:lang w:val="en-US"/>
        </w:rPr>
        <w:t>; and lux-reporter for P</w:t>
      </w:r>
      <w:r w:rsidR="00657188" w:rsidRPr="00657188">
        <w:rPr>
          <w:rFonts w:ascii="Times New Roman" w:hAnsi="Times New Roman" w:cs="Times New Roman"/>
          <w:i/>
          <w:vertAlign w:val="subscript"/>
          <w:lang w:val="en-US"/>
        </w:rPr>
        <w:t>luxR2</w:t>
      </w:r>
      <w:r w:rsidR="00657188" w:rsidRPr="00657188">
        <w:rPr>
          <w:rFonts w:ascii="Times New Roman" w:hAnsi="Times New Roman" w:cs="Times New Roman"/>
          <w:lang w:val="en-US"/>
        </w:rPr>
        <w:t>, correspondently.</w:t>
      </w:r>
    </w:p>
    <w:p w:rsidR="0021007C" w:rsidRPr="00657188" w:rsidRDefault="00125963" w:rsidP="00455CA4">
      <w:pPr>
        <w:jc w:val="both"/>
        <w:rPr>
          <w:rFonts w:ascii="Times New Roman" w:hAnsi="Times New Roman" w:cs="Times New Roman"/>
          <w:i/>
          <w:lang w:val="en-US"/>
        </w:rPr>
      </w:pPr>
      <w:r w:rsidRPr="00657188">
        <w:rPr>
          <w:rFonts w:ascii="Times New Roman" w:hAnsi="Times New Roman" w:cs="Times New Roman"/>
          <w:lang w:val="en-US"/>
        </w:rPr>
        <w:tab/>
        <w:t xml:space="preserve">For constructing of pDlb1 plasmid </w:t>
      </w:r>
      <w:r w:rsidRPr="00657188">
        <w:rPr>
          <w:rFonts w:ascii="Times New Roman" w:hAnsi="Times New Roman" w:cs="Times New Roman"/>
          <w:color w:val="000000"/>
          <w:lang w:val="en-US"/>
        </w:rPr>
        <w:t>P</w:t>
      </w:r>
      <w:r w:rsidRPr="00657188">
        <w:rPr>
          <w:rFonts w:ascii="Times New Roman" w:hAnsi="Times New Roman" w:cs="Times New Roman"/>
          <w:i/>
          <w:iCs/>
          <w:color w:val="000000"/>
          <w:vertAlign w:val="subscript"/>
          <w:lang w:val="en-US"/>
        </w:rPr>
        <w:t>luxCDABEG</w:t>
      </w:r>
      <w:r w:rsidRPr="00657188">
        <w:rPr>
          <w:rFonts w:ascii="Times New Roman" w:hAnsi="Times New Roman" w:cs="Times New Roman"/>
          <w:color w:val="000000"/>
          <w:lang w:val="en-US"/>
        </w:rPr>
        <w:t xml:space="preserve"> promoter of </w:t>
      </w:r>
      <w:r w:rsidRPr="00657188">
        <w:rPr>
          <w:rFonts w:ascii="Times New Roman" w:hAnsi="Times New Roman" w:cs="Times New Roman"/>
          <w:i/>
          <w:color w:val="000000"/>
          <w:lang w:val="en-US"/>
        </w:rPr>
        <w:t xml:space="preserve">A. logei </w:t>
      </w:r>
      <w:r w:rsidRPr="00657188">
        <w:rPr>
          <w:rFonts w:ascii="Times New Roman" w:hAnsi="Times New Roman" w:cs="Times New Roman"/>
          <w:color w:val="000000"/>
          <w:lang w:val="en-US"/>
        </w:rPr>
        <w:t xml:space="preserve">KCh1 was amplified with use of </w:t>
      </w:r>
      <w:r w:rsidRPr="00657188">
        <w:rPr>
          <w:rFonts w:ascii="Times New Roman" w:hAnsi="Times New Roman" w:cs="Times New Roman"/>
          <w:lang w:val="en-US"/>
        </w:rPr>
        <w:t>luxCrevR1 and lb1Dir primers, subcloned into pTZ57R</w:t>
      </w:r>
      <w:r w:rsidR="00657188">
        <w:rPr>
          <w:rFonts w:ascii="Times New Roman" w:hAnsi="Times New Roman" w:cs="Times New Roman"/>
          <w:lang w:val="en-US"/>
        </w:rPr>
        <w:t>/T</w:t>
      </w:r>
      <w:r w:rsidRPr="00657188">
        <w:rPr>
          <w:rFonts w:ascii="Times New Roman" w:hAnsi="Times New Roman" w:cs="Times New Roman"/>
          <w:lang w:val="en-US"/>
        </w:rPr>
        <w:t xml:space="preserve"> vector</w:t>
      </w:r>
      <w:r w:rsidR="00800169" w:rsidRPr="00657188">
        <w:rPr>
          <w:rFonts w:ascii="Times New Roman" w:hAnsi="Times New Roman" w:cs="Times New Roman"/>
          <w:lang w:val="en-US"/>
        </w:rPr>
        <w:t xml:space="preserve"> and transferred to pDEW201 into EcoRI/BamHI restriction sites upstream from </w:t>
      </w:r>
      <w:r w:rsidR="00800169" w:rsidRPr="00657188">
        <w:rPr>
          <w:rFonts w:ascii="Times New Roman" w:hAnsi="Times New Roman" w:cs="Times New Roman"/>
          <w:i/>
          <w:lang w:val="en-US"/>
        </w:rPr>
        <w:t>P. luminescens luxCDABE</w:t>
      </w:r>
      <w:r w:rsidR="00800169" w:rsidRPr="00657188">
        <w:rPr>
          <w:rFonts w:ascii="Times New Roman" w:hAnsi="Times New Roman" w:cs="Times New Roman"/>
          <w:lang w:val="en-US"/>
        </w:rPr>
        <w:t xml:space="preserve">. To obtain pDlb2 plasmid the same operations were done, but luxCrevR1 and lb2Dir primers were used. </w:t>
      </w:r>
      <w:r w:rsidR="00800169" w:rsidRPr="00657188">
        <w:rPr>
          <w:rFonts w:ascii="Times New Roman" w:hAnsi="Times New Roman" w:cs="Times New Roman"/>
          <w:color w:val="000000"/>
          <w:lang w:val="en-US"/>
        </w:rPr>
        <w:t>Use of lb1Dir or lb2Dir primers generate</w:t>
      </w:r>
      <w:r w:rsidRPr="00657188">
        <w:rPr>
          <w:rFonts w:ascii="Times New Roman" w:hAnsi="Times New Roman" w:cs="Times New Roman"/>
          <w:color w:val="000000"/>
          <w:lang w:val="en-US"/>
        </w:rPr>
        <w:t xml:space="preserve"> two variants of</w:t>
      </w:r>
      <w:r w:rsidR="00800169" w:rsidRPr="00657188">
        <w:rPr>
          <w:rFonts w:ascii="Times New Roman" w:hAnsi="Times New Roman" w:cs="Times New Roman"/>
          <w:color w:val="000000"/>
          <w:lang w:val="en-US"/>
        </w:rPr>
        <w:t xml:space="preserve"> the</w:t>
      </w:r>
      <w:r w:rsidRPr="00657188">
        <w:rPr>
          <w:rFonts w:ascii="Times New Roman" w:hAnsi="Times New Roman" w:cs="Times New Roman"/>
          <w:color w:val="000000"/>
          <w:lang w:val="en-US"/>
        </w:rPr>
        <w:t xml:space="preserve"> lux-box sequence (Figure S4)</w:t>
      </w:r>
      <w:r w:rsidR="00800169" w:rsidRPr="00657188">
        <w:rPr>
          <w:rFonts w:ascii="Times New Roman" w:hAnsi="Times New Roman" w:cs="Times New Roman"/>
          <w:color w:val="000000"/>
          <w:lang w:val="en-US"/>
        </w:rPr>
        <w:t xml:space="preserve"> in cloned P</w:t>
      </w:r>
      <w:r w:rsidR="00800169" w:rsidRPr="00657188">
        <w:rPr>
          <w:rFonts w:ascii="Times New Roman" w:hAnsi="Times New Roman" w:cs="Times New Roman"/>
          <w:i/>
          <w:iCs/>
          <w:color w:val="000000"/>
          <w:vertAlign w:val="subscript"/>
          <w:lang w:val="en-US"/>
        </w:rPr>
        <w:t>luxCDABEG</w:t>
      </w:r>
      <w:r w:rsidR="00800169" w:rsidRPr="00657188">
        <w:rPr>
          <w:rFonts w:ascii="Times New Roman" w:hAnsi="Times New Roman" w:cs="Times New Roman"/>
          <w:color w:val="000000"/>
          <w:lang w:val="en-US"/>
        </w:rPr>
        <w:t xml:space="preserve"> promoter in pDlb1 and pDlb2</w:t>
      </w:r>
      <w:r w:rsidRPr="00657188">
        <w:rPr>
          <w:rFonts w:ascii="Times New Roman" w:hAnsi="Times New Roman" w:cs="Times New Roman"/>
          <w:color w:val="000000"/>
          <w:lang w:val="en-US"/>
        </w:rPr>
        <w:t>.</w:t>
      </w:r>
    </w:p>
    <w:p w:rsidR="00855D83" w:rsidRDefault="00855D83">
      <w:pPr>
        <w:rPr>
          <w:rFonts w:ascii="Times New Roman" w:hAnsi="Times New Roman" w:cs="Times New Roman"/>
          <w:b/>
          <w:lang w:val="en-US"/>
        </w:rPr>
      </w:pPr>
      <w:r>
        <w:rPr>
          <w:rFonts w:ascii="Times New Roman" w:hAnsi="Times New Roman" w:cs="Times New Roman"/>
          <w:b/>
          <w:lang w:val="en-US"/>
        </w:rPr>
        <w:br w:type="page"/>
      </w:r>
    </w:p>
    <w:p w:rsidR="00855D83" w:rsidRDefault="00E2304A" w:rsidP="00455CA4">
      <w:pPr>
        <w:jc w:val="both"/>
        <w:rPr>
          <w:rFonts w:ascii="Times New Roman" w:hAnsi="Times New Roman" w:cs="Times New Roman"/>
          <w:lang w:val="en-US"/>
        </w:rPr>
      </w:pPr>
      <w:r>
        <w:rPr>
          <w:rFonts w:ascii="Times New Roman" w:hAnsi="Times New Roman" w:cs="Times New Roman"/>
          <w:b/>
          <w:lang w:val="en-US"/>
        </w:rPr>
        <w:lastRenderedPageBreak/>
        <w:t xml:space="preserve">Table S1 </w:t>
      </w:r>
      <w:r>
        <w:rPr>
          <w:rFonts w:ascii="Times New Roman" w:hAnsi="Times New Roman" w:cs="Times New Roman"/>
          <w:lang w:val="en-US"/>
        </w:rPr>
        <w:t>Oligonucleotides used for cloning</w:t>
      </w:r>
      <w:r w:rsidR="00855D83">
        <w:rPr>
          <w:rFonts w:ascii="Times New Roman" w:hAnsi="Times New Roman" w:cs="Times New Roman"/>
          <w:lang w:val="en-US"/>
        </w:rPr>
        <w:t xml:space="preserve"> promoters into promoter-probe vector and litR under P</w:t>
      </w:r>
      <w:r w:rsidR="00855D83" w:rsidRPr="00855D83">
        <w:rPr>
          <w:rFonts w:ascii="Times New Roman" w:hAnsi="Times New Roman" w:cs="Times New Roman"/>
          <w:i/>
          <w:vertAlign w:val="subscript"/>
          <w:lang w:val="en-US"/>
        </w:rPr>
        <w:t>tac</w:t>
      </w:r>
      <w:r w:rsidR="00855D83">
        <w:rPr>
          <w:rFonts w:ascii="Times New Roman" w:hAnsi="Times New Roman" w:cs="Times New Roman"/>
          <w:lang w:val="en-US"/>
        </w:rPr>
        <w:t xml:space="preserve"> promoter</w:t>
      </w:r>
      <w:r>
        <w:rPr>
          <w:rFonts w:ascii="Times New Roman" w:hAnsi="Times New Roman" w:cs="Times New Roman"/>
          <w:lang w:val="en-US"/>
        </w:rPr>
        <w:t xml:space="preserve"> in this study</w:t>
      </w:r>
      <w:r w:rsidR="000158C1">
        <w:rPr>
          <w:rFonts w:ascii="Times New Roman" w:hAnsi="Times New Roman" w:cs="Times New Roman"/>
          <w:lang w:val="en-US"/>
        </w:rPr>
        <w:t xml:space="preserve">. </w:t>
      </w:r>
    </w:p>
    <w:p w:rsidR="00E2304A" w:rsidRDefault="000158C1" w:rsidP="00455CA4">
      <w:pPr>
        <w:jc w:val="both"/>
        <w:rPr>
          <w:rFonts w:ascii="Times New Roman" w:hAnsi="Times New Roman" w:cs="Times New Roman"/>
          <w:lang w:val="en-US"/>
        </w:rPr>
      </w:pPr>
      <w:r>
        <w:rPr>
          <w:rFonts w:ascii="Times New Roman" w:hAnsi="Times New Roman" w:cs="Times New Roman"/>
          <w:lang w:val="en-US"/>
        </w:rPr>
        <w:t>Nucleotides, which are complementary to matrix, are given in bold, 5’ region of most primers have adapters for cloning through Gibson Assembly or restriction/ligation.</w:t>
      </w:r>
    </w:p>
    <w:tbl>
      <w:tblPr>
        <w:tblStyle w:val="a7"/>
        <w:tblW w:w="0" w:type="auto"/>
        <w:tblLook w:val="04A0" w:firstRow="1" w:lastRow="0" w:firstColumn="1" w:lastColumn="0" w:noHBand="0" w:noVBand="1"/>
      </w:tblPr>
      <w:tblGrid>
        <w:gridCol w:w="1696"/>
        <w:gridCol w:w="7649"/>
      </w:tblGrid>
      <w:tr w:rsidR="000158C1" w:rsidTr="000158C1">
        <w:tc>
          <w:tcPr>
            <w:tcW w:w="1696" w:type="dxa"/>
          </w:tcPr>
          <w:p w:rsidR="000158C1" w:rsidRDefault="000158C1" w:rsidP="00967DA4">
            <w:pPr>
              <w:jc w:val="both"/>
              <w:rPr>
                <w:rFonts w:ascii="Times New Roman" w:hAnsi="Times New Roman" w:cs="Times New Roman"/>
                <w:lang w:val="en-US"/>
              </w:rPr>
            </w:pPr>
            <w:r>
              <w:rPr>
                <w:rFonts w:ascii="Times New Roman" w:hAnsi="Times New Roman" w:cs="Times New Roman"/>
                <w:lang w:val="en-US"/>
              </w:rPr>
              <w:t>Primer</w:t>
            </w:r>
          </w:p>
        </w:tc>
        <w:tc>
          <w:tcPr>
            <w:tcW w:w="7649" w:type="dxa"/>
          </w:tcPr>
          <w:p w:rsidR="000158C1" w:rsidRDefault="000158C1" w:rsidP="00967DA4">
            <w:pPr>
              <w:jc w:val="both"/>
              <w:rPr>
                <w:rFonts w:ascii="Times New Roman" w:hAnsi="Times New Roman" w:cs="Times New Roman"/>
                <w:lang w:val="en-US"/>
              </w:rPr>
            </w:pPr>
            <w:r>
              <w:rPr>
                <w:rFonts w:ascii="Times New Roman" w:hAnsi="Times New Roman" w:cs="Times New Roman"/>
                <w:lang w:val="en-US"/>
              </w:rPr>
              <w:t>Sequence, 5’-3’</w:t>
            </w:r>
          </w:p>
        </w:tc>
      </w:tr>
      <w:tr w:rsidR="000158C1" w:rsidTr="000158C1">
        <w:tc>
          <w:tcPr>
            <w:tcW w:w="1696" w:type="dxa"/>
          </w:tcPr>
          <w:p w:rsidR="000158C1" w:rsidRPr="00463941" w:rsidRDefault="000158C1" w:rsidP="00967DA4">
            <w:pPr>
              <w:jc w:val="both"/>
              <w:rPr>
                <w:rFonts w:ascii="Times New Roman" w:hAnsi="Times New Roman" w:cs="Times New Roman"/>
                <w:lang w:val="en-US"/>
              </w:rPr>
            </w:pPr>
            <w:r w:rsidRPr="00463941">
              <w:rPr>
                <w:rFonts w:ascii="Times New Roman" w:hAnsi="Times New Roman" w:cs="Times New Roman"/>
                <w:lang w:val="en-US"/>
              </w:rPr>
              <w:t>litRDEco</w:t>
            </w:r>
          </w:p>
        </w:tc>
        <w:tc>
          <w:tcPr>
            <w:tcW w:w="7649" w:type="dxa"/>
            <w:shd w:val="clear" w:color="auto" w:fill="auto"/>
          </w:tcPr>
          <w:p w:rsidR="000158C1" w:rsidRPr="00967DA4" w:rsidRDefault="000158C1" w:rsidP="00967DA4">
            <w:pPr>
              <w:jc w:val="both"/>
              <w:rPr>
                <w:rFonts w:ascii="Courier New" w:hAnsi="Courier New" w:cs="Courier New"/>
                <w:lang w:val="en-US"/>
              </w:rPr>
            </w:pPr>
            <w:r w:rsidRPr="00967DA4">
              <w:rPr>
                <w:rFonts w:ascii="Courier New" w:hAnsi="Courier New" w:cs="Courier New"/>
                <w:lang w:val="en-US"/>
              </w:rPr>
              <w:t>GAATTC</w:t>
            </w:r>
            <w:r w:rsidRPr="00967DA4">
              <w:rPr>
                <w:rFonts w:ascii="Courier New" w:hAnsi="Courier New" w:cs="Courier New"/>
                <w:b/>
                <w:lang w:val="en-US"/>
              </w:rPr>
              <w:t>ATGGAAACGATCCAAAAAAGACCGA</w:t>
            </w:r>
          </w:p>
        </w:tc>
      </w:tr>
      <w:tr w:rsidR="000158C1" w:rsidTr="000158C1">
        <w:tc>
          <w:tcPr>
            <w:tcW w:w="1696" w:type="dxa"/>
          </w:tcPr>
          <w:p w:rsidR="000158C1" w:rsidRPr="00463941" w:rsidRDefault="000158C1" w:rsidP="00967DA4">
            <w:pPr>
              <w:jc w:val="both"/>
              <w:rPr>
                <w:rFonts w:ascii="Times New Roman" w:hAnsi="Times New Roman" w:cs="Times New Roman"/>
                <w:lang w:val="en-US"/>
              </w:rPr>
            </w:pPr>
            <w:r w:rsidRPr="00463941">
              <w:rPr>
                <w:rFonts w:ascii="Times New Roman" w:hAnsi="Times New Roman" w:cs="Times New Roman"/>
                <w:lang w:val="en-US"/>
              </w:rPr>
              <w:t>litRRKpn</w:t>
            </w:r>
          </w:p>
        </w:tc>
        <w:tc>
          <w:tcPr>
            <w:tcW w:w="7649" w:type="dxa"/>
            <w:shd w:val="clear" w:color="auto" w:fill="auto"/>
          </w:tcPr>
          <w:p w:rsidR="000158C1" w:rsidRPr="00967DA4" w:rsidRDefault="000158C1" w:rsidP="00967DA4">
            <w:pPr>
              <w:jc w:val="both"/>
              <w:rPr>
                <w:rFonts w:ascii="Courier New" w:hAnsi="Courier New" w:cs="Courier New"/>
                <w:lang w:val="en-US"/>
              </w:rPr>
            </w:pPr>
            <w:r w:rsidRPr="00967DA4">
              <w:rPr>
                <w:rFonts w:ascii="Courier New" w:hAnsi="Courier New" w:cs="Courier New"/>
                <w:lang w:val="en-US"/>
              </w:rPr>
              <w:t>GGTACCA</w:t>
            </w:r>
            <w:r w:rsidRPr="00967DA4">
              <w:rPr>
                <w:rFonts w:ascii="Courier New" w:hAnsi="Courier New" w:cs="Courier New"/>
                <w:b/>
                <w:lang w:val="en-US"/>
              </w:rPr>
              <w:t>TTATTTATAAATACACAGCATATTTAAGAAGCAG</w:t>
            </w:r>
          </w:p>
        </w:tc>
      </w:tr>
      <w:tr w:rsidR="00463941" w:rsidTr="000158C1">
        <w:tc>
          <w:tcPr>
            <w:tcW w:w="1696" w:type="dxa"/>
          </w:tcPr>
          <w:p w:rsidR="00463941" w:rsidRPr="00864E21" w:rsidRDefault="00463941" w:rsidP="00967DA4">
            <w:pPr>
              <w:jc w:val="both"/>
              <w:rPr>
                <w:rFonts w:ascii="Times New Roman" w:hAnsi="Times New Roman" w:cs="Times New Roman"/>
                <w:lang w:val="en-US"/>
              </w:rPr>
            </w:pPr>
            <w:r w:rsidRPr="00864E21">
              <w:rPr>
                <w:rFonts w:ascii="Times New Roman" w:hAnsi="Times New Roman" w:cs="Times New Roman"/>
                <w:lang w:val="en-US"/>
              </w:rPr>
              <w:t>lb1Dir</w:t>
            </w:r>
          </w:p>
        </w:tc>
        <w:tc>
          <w:tcPr>
            <w:tcW w:w="7649" w:type="dxa"/>
          </w:tcPr>
          <w:p w:rsidR="00463941" w:rsidRPr="00864E21" w:rsidRDefault="00463941" w:rsidP="00967DA4">
            <w:pPr>
              <w:jc w:val="both"/>
              <w:rPr>
                <w:rFonts w:ascii="Courier New" w:hAnsi="Courier New" w:cs="Courier New"/>
                <w:b/>
              </w:rPr>
            </w:pPr>
            <w:r w:rsidRPr="00864E21">
              <w:rPr>
                <w:rFonts w:ascii="Courier New" w:hAnsi="Courier New" w:cs="Courier New"/>
                <w:b/>
                <w:bCs/>
                <w:lang w:val="pt-BR"/>
              </w:rPr>
              <w:t>GATACTCTGTAAAGTTATACAGGTTTACCTA</w:t>
            </w:r>
          </w:p>
        </w:tc>
      </w:tr>
      <w:tr w:rsidR="00463941" w:rsidTr="000158C1">
        <w:tc>
          <w:tcPr>
            <w:tcW w:w="1696" w:type="dxa"/>
          </w:tcPr>
          <w:p w:rsidR="00463941" w:rsidRPr="00864E21" w:rsidRDefault="00463941" w:rsidP="00967DA4">
            <w:pPr>
              <w:jc w:val="both"/>
              <w:rPr>
                <w:rFonts w:ascii="Times New Roman" w:hAnsi="Times New Roman" w:cs="Times New Roman"/>
                <w:lang w:val="en-US"/>
              </w:rPr>
            </w:pPr>
            <w:r w:rsidRPr="00864E21">
              <w:rPr>
                <w:rFonts w:ascii="Times New Roman" w:hAnsi="Times New Roman" w:cs="Times New Roman"/>
                <w:lang w:val="en-US"/>
              </w:rPr>
              <w:t>lb2Dir</w:t>
            </w:r>
          </w:p>
        </w:tc>
        <w:tc>
          <w:tcPr>
            <w:tcW w:w="7649" w:type="dxa"/>
          </w:tcPr>
          <w:p w:rsidR="00463941" w:rsidRPr="00864E21" w:rsidRDefault="00463941" w:rsidP="00967DA4">
            <w:pPr>
              <w:jc w:val="both"/>
              <w:rPr>
                <w:rFonts w:ascii="Courier New" w:hAnsi="Courier New" w:cs="Courier New"/>
                <w:b/>
              </w:rPr>
            </w:pPr>
            <w:r w:rsidRPr="00864E21">
              <w:rPr>
                <w:rFonts w:ascii="Courier New" w:hAnsi="Courier New" w:cs="Courier New"/>
                <w:b/>
                <w:bCs/>
                <w:lang w:val="pt-BR"/>
              </w:rPr>
              <w:t>GAT</w:t>
            </w:r>
            <w:r w:rsidRPr="00864E21">
              <w:rPr>
                <w:rFonts w:ascii="Courier New" w:hAnsi="Courier New" w:cs="Courier New"/>
                <w:bCs/>
                <w:lang w:val="pt-BR"/>
              </w:rPr>
              <w:t>TTC</w:t>
            </w:r>
            <w:r w:rsidRPr="00864E21">
              <w:rPr>
                <w:rFonts w:ascii="Courier New" w:hAnsi="Courier New" w:cs="Courier New"/>
                <w:b/>
                <w:bCs/>
                <w:lang w:val="pt-BR"/>
              </w:rPr>
              <w:t>CTGTAA</w:t>
            </w:r>
            <w:r w:rsidRPr="00864E21">
              <w:rPr>
                <w:rFonts w:ascii="Courier New" w:hAnsi="Courier New" w:cs="Courier New"/>
                <w:bCs/>
                <w:lang w:val="pt-BR"/>
              </w:rPr>
              <w:t>TA</w:t>
            </w:r>
            <w:r w:rsidRPr="00864E21">
              <w:rPr>
                <w:rFonts w:ascii="Courier New" w:hAnsi="Courier New" w:cs="Courier New"/>
                <w:b/>
                <w:bCs/>
                <w:lang w:val="pt-BR"/>
              </w:rPr>
              <w:t>TT</w:t>
            </w:r>
            <w:r w:rsidRPr="00864E21">
              <w:rPr>
                <w:rFonts w:ascii="Courier New" w:hAnsi="Courier New" w:cs="Courier New"/>
                <w:bCs/>
                <w:lang w:val="pt-BR"/>
              </w:rPr>
              <w:t>G</w:t>
            </w:r>
            <w:r w:rsidRPr="00864E21">
              <w:rPr>
                <w:rFonts w:ascii="Courier New" w:hAnsi="Courier New" w:cs="Courier New"/>
                <w:b/>
                <w:bCs/>
                <w:lang w:val="pt-BR"/>
              </w:rPr>
              <w:t>TACAGGTTTACCTAAATAATTACCCTGCTA</w:t>
            </w:r>
          </w:p>
        </w:tc>
      </w:tr>
      <w:tr w:rsidR="00463941" w:rsidTr="000158C1">
        <w:tc>
          <w:tcPr>
            <w:tcW w:w="1696" w:type="dxa"/>
          </w:tcPr>
          <w:p w:rsidR="00463941" w:rsidRPr="00864E21" w:rsidRDefault="00463941" w:rsidP="00967DA4">
            <w:pPr>
              <w:jc w:val="both"/>
              <w:rPr>
                <w:rFonts w:ascii="Times New Roman" w:hAnsi="Times New Roman" w:cs="Times New Roman"/>
                <w:lang w:val="en-US"/>
              </w:rPr>
            </w:pPr>
            <w:r w:rsidRPr="00864E21">
              <w:rPr>
                <w:rFonts w:ascii="Times New Roman" w:hAnsi="Times New Roman" w:cs="Times New Roman"/>
                <w:lang w:val="en-US"/>
              </w:rPr>
              <w:t>luxCrevR1</w:t>
            </w:r>
          </w:p>
        </w:tc>
        <w:tc>
          <w:tcPr>
            <w:tcW w:w="7649" w:type="dxa"/>
          </w:tcPr>
          <w:p w:rsidR="00463941" w:rsidRPr="00864E21" w:rsidRDefault="00463941" w:rsidP="00967DA4">
            <w:pPr>
              <w:jc w:val="both"/>
              <w:rPr>
                <w:rFonts w:ascii="Courier New" w:hAnsi="Courier New" w:cs="Courier New"/>
                <w:b/>
              </w:rPr>
            </w:pPr>
            <w:r w:rsidRPr="00864E21">
              <w:rPr>
                <w:rFonts w:ascii="Courier New" w:hAnsi="Courier New" w:cs="Courier New"/>
                <w:b/>
                <w:bCs/>
                <w:lang w:val="pt-BR"/>
              </w:rPr>
              <w:t>GACACCGCCGATGATAATTGGA</w:t>
            </w:r>
          </w:p>
        </w:tc>
      </w:tr>
      <w:tr w:rsidR="00463941" w:rsidTr="000158C1">
        <w:tc>
          <w:tcPr>
            <w:tcW w:w="1696" w:type="dxa"/>
          </w:tcPr>
          <w:p w:rsidR="00463941" w:rsidRPr="00864E21" w:rsidRDefault="00967DA4" w:rsidP="00967DA4">
            <w:pPr>
              <w:jc w:val="both"/>
              <w:rPr>
                <w:rFonts w:ascii="Times New Roman" w:hAnsi="Times New Roman" w:cs="Times New Roman"/>
                <w:lang w:val="en-US"/>
              </w:rPr>
            </w:pPr>
            <w:r w:rsidRPr="00864E21">
              <w:rPr>
                <w:rFonts w:ascii="Times New Roman" w:hAnsi="Times New Roman" w:cs="Times New Roman"/>
                <w:lang w:val="en-US"/>
              </w:rPr>
              <w:t>P2Irev</w:t>
            </w:r>
          </w:p>
        </w:tc>
        <w:tc>
          <w:tcPr>
            <w:tcW w:w="7649" w:type="dxa"/>
          </w:tcPr>
          <w:p w:rsidR="00463941" w:rsidRPr="00864E21" w:rsidRDefault="00967DA4" w:rsidP="00967DA4">
            <w:pPr>
              <w:jc w:val="both"/>
              <w:rPr>
                <w:rFonts w:ascii="Courier New" w:hAnsi="Courier New" w:cs="Courier New"/>
                <w:b/>
              </w:rPr>
            </w:pPr>
            <w:r w:rsidRPr="00864E21">
              <w:rPr>
                <w:rFonts w:ascii="Courier New" w:hAnsi="Courier New" w:cs="Courier New"/>
                <w:lang w:val="en-US"/>
              </w:rPr>
              <w:t>GAATTC</w:t>
            </w:r>
            <w:r w:rsidRPr="00864E21">
              <w:rPr>
                <w:rFonts w:ascii="Courier New" w:hAnsi="Courier New" w:cs="Courier New"/>
                <w:b/>
              </w:rPr>
              <w:t>CCTGACCCCCTTTAATCTTTTAACTG</w:t>
            </w:r>
          </w:p>
        </w:tc>
      </w:tr>
      <w:tr w:rsidR="00463941" w:rsidTr="000158C1">
        <w:tc>
          <w:tcPr>
            <w:tcW w:w="1696" w:type="dxa"/>
          </w:tcPr>
          <w:p w:rsidR="00463941" w:rsidRPr="00864E21" w:rsidRDefault="00967DA4" w:rsidP="00967DA4">
            <w:pPr>
              <w:jc w:val="both"/>
              <w:rPr>
                <w:rFonts w:ascii="Times New Roman" w:hAnsi="Times New Roman" w:cs="Times New Roman"/>
                <w:lang w:val="en-US"/>
              </w:rPr>
            </w:pPr>
            <w:r w:rsidRPr="00864E21">
              <w:rPr>
                <w:rFonts w:ascii="Times New Roman" w:hAnsi="Times New Roman" w:cs="Times New Roman"/>
                <w:lang w:val="en-US"/>
              </w:rPr>
              <w:t>P2R2rev</w:t>
            </w:r>
          </w:p>
        </w:tc>
        <w:tc>
          <w:tcPr>
            <w:tcW w:w="7649" w:type="dxa"/>
          </w:tcPr>
          <w:p w:rsidR="00463941" w:rsidRPr="00864E21" w:rsidRDefault="00967DA4" w:rsidP="00967DA4">
            <w:pPr>
              <w:jc w:val="both"/>
              <w:rPr>
                <w:rFonts w:ascii="Courier New" w:hAnsi="Courier New" w:cs="Courier New"/>
                <w:b/>
              </w:rPr>
            </w:pPr>
            <w:r w:rsidRPr="00864E21">
              <w:rPr>
                <w:rFonts w:ascii="Courier New" w:hAnsi="Courier New" w:cs="Courier New"/>
                <w:lang w:val="en-US"/>
              </w:rPr>
              <w:t>GAATTC</w:t>
            </w:r>
            <w:r w:rsidRPr="00864E21">
              <w:rPr>
                <w:rFonts w:ascii="Courier New" w:hAnsi="Courier New" w:cs="Courier New"/>
                <w:b/>
              </w:rPr>
              <w:t>GTAGTTATCTAAAATTTTAATATCAGATTTGATCATGG</w:t>
            </w:r>
          </w:p>
        </w:tc>
      </w:tr>
      <w:tr w:rsidR="00463941" w:rsidTr="000158C1">
        <w:tc>
          <w:tcPr>
            <w:tcW w:w="1696" w:type="dxa"/>
          </w:tcPr>
          <w:p w:rsidR="00463941" w:rsidRPr="00864E21" w:rsidRDefault="00967DA4" w:rsidP="00463941">
            <w:pPr>
              <w:jc w:val="both"/>
              <w:rPr>
                <w:rFonts w:ascii="Times New Roman" w:hAnsi="Times New Roman" w:cs="Times New Roman"/>
                <w:lang w:val="en-US"/>
              </w:rPr>
            </w:pPr>
            <w:r w:rsidRPr="00864E21">
              <w:rPr>
                <w:rFonts w:ascii="Times New Roman" w:hAnsi="Times New Roman" w:cs="Times New Roman"/>
              </w:rPr>
              <w:t>luxR2(RevSt)</w:t>
            </w:r>
          </w:p>
        </w:tc>
        <w:tc>
          <w:tcPr>
            <w:tcW w:w="7649" w:type="dxa"/>
          </w:tcPr>
          <w:p w:rsidR="00463941" w:rsidRPr="00864E21" w:rsidRDefault="00967DA4" w:rsidP="00463941">
            <w:pPr>
              <w:jc w:val="both"/>
              <w:rPr>
                <w:rFonts w:ascii="Courier New" w:hAnsi="Courier New" w:cs="Courier New"/>
                <w:b/>
                <w:lang w:val="en-US"/>
              </w:rPr>
            </w:pPr>
            <w:r w:rsidRPr="00864E21">
              <w:rPr>
                <w:rFonts w:ascii="Courier New" w:hAnsi="Courier New" w:cs="Courier New"/>
                <w:b/>
              </w:rPr>
              <w:t>TGAAAATTAGAAGTCCGACTGCGT</w:t>
            </w:r>
          </w:p>
        </w:tc>
      </w:tr>
      <w:tr w:rsidR="00463941" w:rsidTr="000158C1">
        <w:tc>
          <w:tcPr>
            <w:tcW w:w="1696" w:type="dxa"/>
          </w:tcPr>
          <w:p w:rsidR="00463941" w:rsidRPr="00864E21" w:rsidRDefault="00967DA4" w:rsidP="00463941">
            <w:pPr>
              <w:jc w:val="both"/>
              <w:rPr>
                <w:rFonts w:ascii="Times New Roman" w:hAnsi="Times New Roman" w:cs="Times New Roman"/>
                <w:lang w:val="en-US"/>
              </w:rPr>
            </w:pPr>
            <w:r w:rsidRPr="00864E21">
              <w:rPr>
                <w:rFonts w:ascii="Times New Roman" w:hAnsi="Times New Roman" w:cs="Times New Roman"/>
              </w:rPr>
              <w:t>Revpl</w:t>
            </w:r>
            <w:r w:rsidRPr="00864E21">
              <w:rPr>
                <w:rFonts w:ascii="Times New Roman" w:hAnsi="Times New Roman" w:cs="Times New Roman"/>
                <w:lang w:val="en-US"/>
              </w:rPr>
              <w:t>1</w:t>
            </w:r>
          </w:p>
        </w:tc>
        <w:tc>
          <w:tcPr>
            <w:tcW w:w="7649" w:type="dxa"/>
          </w:tcPr>
          <w:p w:rsidR="00463941" w:rsidRPr="00864E21" w:rsidRDefault="00967DA4" w:rsidP="00463941">
            <w:pPr>
              <w:jc w:val="both"/>
              <w:rPr>
                <w:rFonts w:ascii="Courier New" w:hAnsi="Courier New" w:cs="Courier New"/>
                <w:b/>
                <w:lang w:val="en-US"/>
              </w:rPr>
            </w:pPr>
            <w:r w:rsidRPr="00864E21">
              <w:rPr>
                <w:rFonts w:ascii="Courier New" w:hAnsi="Courier New" w:cs="Courier New"/>
                <w:b/>
              </w:rPr>
              <w:t>GTCATCCTGACCCCCTTTAATCTTT</w:t>
            </w:r>
          </w:p>
        </w:tc>
      </w:tr>
      <w:tr w:rsidR="00463941" w:rsidTr="000158C1">
        <w:tc>
          <w:tcPr>
            <w:tcW w:w="1696" w:type="dxa"/>
          </w:tcPr>
          <w:p w:rsidR="00463941" w:rsidRPr="00864E21" w:rsidRDefault="00647F93" w:rsidP="00463941">
            <w:pPr>
              <w:jc w:val="both"/>
              <w:rPr>
                <w:rFonts w:ascii="Times New Roman" w:hAnsi="Times New Roman" w:cs="Times New Roman"/>
                <w:lang w:val="en-US"/>
              </w:rPr>
            </w:pPr>
            <w:r w:rsidRPr="00864E21">
              <w:rPr>
                <w:rFonts w:ascii="Times New Roman" w:hAnsi="Times New Roman" w:cs="Times New Roman"/>
              </w:rPr>
              <w:t>SV1dir</w:t>
            </w:r>
          </w:p>
        </w:tc>
        <w:tc>
          <w:tcPr>
            <w:tcW w:w="7649" w:type="dxa"/>
          </w:tcPr>
          <w:p w:rsidR="00463941" w:rsidRPr="00864E21" w:rsidRDefault="00647F93" w:rsidP="00463941">
            <w:pPr>
              <w:jc w:val="both"/>
              <w:rPr>
                <w:rFonts w:ascii="Courier New" w:hAnsi="Courier New" w:cs="Courier New"/>
                <w:b/>
                <w:lang w:val="en-US"/>
              </w:rPr>
            </w:pPr>
            <w:r w:rsidRPr="00864E21">
              <w:rPr>
                <w:rFonts w:ascii="Courier New" w:hAnsi="Courier New" w:cs="Courier New"/>
                <w:b/>
              </w:rPr>
              <w:t>TCACACCGCCGATGATAATTGGAA</w:t>
            </w:r>
          </w:p>
        </w:tc>
      </w:tr>
      <w:tr w:rsidR="00967DA4" w:rsidTr="000158C1">
        <w:tc>
          <w:tcPr>
            <w:tcW w:w="1696" w:type="dxa"/>
          </w:tcPr>
          <w:p w:rsidR="00967DA4" w:rsidRPr="00864E21" w:rsidRDefault="00647F93" w:rsidP="00463941">
            <w:pPr>
              <w:jc w:val="both"/>
              <w:rPr>
                <w:rFonts w:ascii="Times New Roman" w:hAnsi="Times New Roman" w:cs="Times New Roman"/>
                <w:lang w:val="en-US"/>
              </w:rPr>
            </w:pPr>
            <w:r w:rsidRPr="00864E21">
              <w:rPr>
                <w:rFonts w:ascii="Times New Roman" w:hAnsi="Times New Roman" w:cs="Times New Roman"/>
                <w:bCs/>
              </w:rPr>
              <w:t>luxR1(end)</w:t>
            </w:r>
          </w:p>
        </w:tc>
        <w:tc>
          <w:tcPr>
            <w:tcW w:w="7649" w:type="dxa"/>
          </w:tcPr>
          <w:p w:rsidR="00967DA4" w:rsidRPr="00864E21" w:rsidRDefault="00647F93" w:rsidP="00463941">
            <w:pPr>
              <w:jc w:val="both"/>
              <w:rPr>
                <w:rFonts w:ascii="Courier New" w:hAnsi="Courier New" w:cs="Courier New"/>
                <w:b/>
                <w:lang w:val="en-US"/>
              </w:rPr>
            </w:pPr>
            <w:r w:rsidRPr="00864E21">
              <w:rPr>
                <w:rFonts w:ascii="Courier New" w:hAnsi="Courier New" w:cs="Courier New"/>
                <w:b/>
              </w:rPr>
              <w:t>GGCCGAATTGTATGTAAAAATAAATGAG</w:t>
            </w:r>
          </w:p>
        </w:tc>
      </w:tr>
    </w:tbl>
    <w:p w:rsidR="00657188" w:rsidRDefault="00657188" w:rsidP="00FF1473">
      <w:pPr>
        <w:rPr>
          <w:lang w:val="en-US"/>
        </w:rPr>
      </w:pPr>
    </w:p>
    <w:sectPr w:rsidR="00657188" w:rsidSect="004811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36" w:rsidRDefault="007E4C36" w:rsidP="007953D7">
      <w:pPr>
        <w:spacing w:after="0" w:line="240" w:lineRule="auto"/>
      </w:pPr>
      <w:r>
        <w:separator/>
      </w:r>
    </w:p>
  </w:endnote>
  <w:endnote w:type="continuationSeparator" w:id="0">
    <w:p w:rsidR="007E4C36" w:rsidRDefault="007E4C36" w:rsidP="0079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36" w:rsidRDefault="007E4C36" w:rsidP="007953D7">
      <w:pPr>
        <w:spacing w:after="0" w:line="240" w:lineRule="auto"/>
      </w:pPr>
      <w:r>
        <w:separator/>
      </w:r>
    </w:p>
  </w:footnote>
  <w:footnote w:type="continuationSeparator" w:id="0">
    <w:p w:rsidR="007E4C36" w:rsidRDefault="007E4C36" w:rsidP="007953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BD"/>
    <w:rsid w:val="0000099C"/>
    <w:rsid w:val="000158C1"/>
    <w:rsid w:val="000619E1"/>
    <w:rsid w:val="000A230C"/>
    <w:rsid w:val="000E7A67"/>
    <w:rsid w:val="00105173"/>
    <w:rsid w:val="00125963"/>
    <w:rsid w:val="001C11D4"/>
    <w:rsid w:val="0021007C"/>
    <w:rsid w:val="002417B7"/>
    <w:rsid w:val="0025577F"/>
    <w:rsid w:val="002A28B5"/>
    <w:rsid w:val="00384F25"/>
    <w:rsid w:val="003D18C8"/>
    <w:rsid w:val="00455CA4"/>
    <w:rsid w:val="00463941"/>
    <w:rsid w:val="004741EE"/>
    <w:rsid w:val="00481100"/>
    <w:rsid w:val="004F3D01"/>
    <w:rsid w:val="00517B8E"/>
    <w:rsid w:val="005E3E9C"/>
    <w:rsid w:val="006212A3"/>
    <w:rsid w:val="00643050"/>
    <w:rsid w:val="00647F93"/>
    <w:rsid w:val="00657188"/>
    <w:rsid w:val="006A63DF"/>
    <w:rsid w:val="006F56C0"/>
    <w:rsid w:val="007953D7"/>
    <w:rsid w:val="007E4C36"/>
    <w:rsid w:val="007F6260"/>
    <w:rsid w:val="00800169"/>
    <w:rsid w:val="00855D83"/>
    <w:rsid w:val="00864E21"/>
    <w:rsid w:val="00882E52"/>
    <w:rsid w:val="00925C72"/>
    <w:rsid w:val="00967DA4"/>
    <w:rsid w:val="009E5811"/>
    <w:rsid w:val="00A10371"/>
    <w:rsid w:val="00A41932"/>
    <w:rsid w:val="00A7019C"/>
    <w:rsid w:val="00A77863"/>
    <w:rsid w:val="00AD2A2E"/>
    <w:rsid w:val="00B46DA6"/>
    <w:rsid w:val="00BA0D49"/>
    <w:rsid w:val="00BB65C8"/>
    <w:rsid w:val="00BF2DE0"/>
    <w:rsid w:val="00C51256"/>
    <w:rsid w:val="00C51318"/>
    <w:rsid w:val="00C92D45"/>
    <w:rsid w:val="00CD3013"/>
    <w:rsid w:val="00D0372C"/>
    <w:rsid w:val="00D971BD"/>
    <w:rsid w:val="00DB1A31"/>
    <w:rsid w:val="00DD6DE9"/>
    <w:rsid w:val="00DE6BF8"/>
    <w:rsid w:val="00DF40C8"/>
    <w:rsid w:val="00E2304A"/>
    <w:rsid w:val="00E35C30"/>
    <w:rsid w:val="00E71AD1"/>
    <w:rsid w:val="00F37CDE"/>
    <w:rsid w:val="00F850B2"/>
    <w:rsid w:val="00FE4131"/>
    <w:rsid w:val="00FE69F2"/>
    <w:rsid w:val="00FF1473"/>
    <w:rsid w:val="00FF1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D7724"/>
  <w15:docId w15:val="{40C1B745-D9C6-429C-8DE0-11B3FAF9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5E3E9C"/>
    <w:pPr>
      <w:spacing w:line="240" w:lineRule="auto"/>
      <w:jc w:val="center"/>
    </w:pPr>
    <w:rPr>
      <w:rFonts w:ascii="Times New Roman" w:hAnsi="Times New Roman"/>
      <w:bCs/>
      <w:sz w:val="24"/>
      <w:szCs w:val="18"/>
    </w:rPr>
  </w:style>
  <w:style w:type="paragraph" w:customStyle="1" w:styleId="1">
    <w:name w:val="Обычный1"/>
    <w:rsid w:val="00D971BD"/>
    <w:pPr>
      <w:spacing w:after="0" w:line="240" w:lineRule="auto"/>
    </w:pPr>
    <w:rPr>
      <w:rFonts w:ascii="Times New Roman" w:eastAsia="Times New Roman" w:hAnsi="Times New Roman" w:cs="Times New Roman"/>
      <w:sz w:val="20"/>
      <w:szCs w:val="20"/>
      <w:lang w:val="en-US" w:eastAsia="ru-RU"/>
    </w:rPr>
  </w:style>
  <w:style w:type="paragraph" w:styleId="a4">
    <w:name w:val="Balloon Text"/>
    <w:basedOn w:val="a"/>
    <w:link w:val="a5"/>
    <w:uiPriority w:val="99"/>
    <w:semiHidden/>
    <w:unhideWhenUsed/>
    <w:rsid w:val="00D971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71BD"/>
    <w:rPr>
      <w:rFonts w:ascii="Tahoma" w:hAnsi="Tahoma" w:cs="Tahoma"/>
      <w:sz w:val="16"/>
      <w:szCs w:val="16"/>
    </w:rPr>
  </w:style>
  <w:style w:type="paragraph" w:styleId="a6">
    <w:name w:val="Normal (Web)"/>
    <w:basedOn w:val="a"/>
    <w:uiPriority w:val="99"/>
    <w:semiHidden/>
    <w:unhideWhenUsed/>
    <w:rsid w:val="000A23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015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7953D7"/>
    <w:pPr>
      <w:spacing w:after="0" w:line="240" w:lineRule="auto"/>
    </w:pPr>
    <w:rPr>
      <w:sz w:val="20"/>
      <w:szCs w:val="20"/>
    </w:rPr>
  </w:style>
  <w:style w:type="character" w:customStyle="1" w:styleId="a9">
    <w:name w:val="Текст сноски Знак"/>
    <w:basedOn w:val="a0"/>
    <w:link w:val="a8"/>
    <w:uiPriority w:val="99"/>
    <w:semiHidden/>
    <w:rsid w:val="007953D7"/>
    <w:rPr>
      <w:sz w:val="20"/>
      <w:szCs w:val="20"/>
    </w:rPr>
  </w:style>
  <w:style w:type="character" w:styleId="aa">
    <w:name w:val="footnote reference"/>
    <w:basedOn w:val="a0"/>
    <w:uiPriority w:val="99"/>
    <w:semiHidden/>
    <w:unhideWhenUsed/>
    <w:rsid w:val="007953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42763">
      <w:bodyDiv w:val="1"/>
      <w:marLeft w:val="0"/>
      <w:marRight w:val="0"/>
      <w:marTop w:val="0"/>
      <w:marBottom w:val="0"/>
      <w:divBdr>
        <w:top w:val="none" w:sz="0" w:space="0" w:color="auto"/>
        <w:left w:val="none" w:sz="0" w:space="0" w:color="auto"/>
        <w:bottom w:val="none" w:sz="0" w:space="0" w:color="auto"/>
        <w:right w:val="none" w:sz="0" w:space="0" w:color="auto"/>
      </w:divBdr>
    </w:div>
    <w:div w:id="14182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E07CC0C-A567-4B30-85CB-DF064689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Bazhenov</dc:creator>
  <cp:keywords/>
  <dc:description/>
  <cp:lastModifiedBy>User</cp:lastModifiedBy>
  <cp:revision>9</cp:revision>
  <dcterms:created xsi:type="dcterms:W3CDTF">2021-03-29T11:21:00Z</dcterms:created>
  <dcterms:modified xsi:type="dcterms:W3CDTF">2021-06-24T07:00:00Z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http://www.zotero.org/styles/biochemical-and-biophysical-research-communications</vt:lpwstr>
  </property>
  <property fmtid="{D5CDD505-2E9C-101B-9397-08002B2CF9AE}" pid="5" name="Mendeley Recent Style Name 1_1">
    <vt:lpwstr>Biochemical and Biophysical Research Communications</vt:lpwstr>
  </property>
  <property fmtid="{D5CDD505-2E9C-101B-9397-08002B2CF9AE}" pid="6" name="Mendeley Recent Style Id 2_1">
    <vt:lpwstr>http://www.zotero.org/styles/biosensors</vt:lpwstr>
  </property>
  <property fmtid="{D5CDD505-2E9C-101B-9397-08002B2CF9AE}" pid="7" name="Mendeley Recent Style Name 2_1">
    <vt:lpwstr>Biosensors</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http://www.zotero.org/styles/journal-of-bacteriology</vt:lpwstr>
  </property>
  <property fmtid="{D5CDD505-2E9C-101B-9397-08002B2CF9AE}" pid="11" name="Mendeley Recent Style Name 4_1">
    <vt:lpwstr>Journal of Bacteriology</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http://www.zotero.org/styles/peerj</vt:lpwstr>
  </property>
  <property fmtid="{D5CDD505-2E9C-101B-9397-08002B2CF9AE}" pid="19" name="Mendeley Recent Style Name 8_1">
    <vt:lpwstr>PeerJ</vt:lpwstr>
  </property>
  <property fmtid="{D5CDD505-2E9C-101B-9397-08002B2CF9AE}" pid="20" name="Mendeley Recent Style Id 9_1">
    <vt:lpwstr>http://www.zotero.org/styles/gost-r-7-0-5-2008-numeric</vt:lpwstr>
  </property>
  <property fmtid="{D5CDD505-2E9C-101B-9397-08002B2CF9AE}" pid="21" name="Mendeley Recent Style Name 9_1">
    <vt:lpwstr>Russian GOST R 7.0.5-2008 (numeric)</vt:lpwstr>
  </property>
  <property fmtid="{D5CDD505-2E9C-101B-9397-08002B2CF9AE}" pid="22" name="Mendeley Document_1">
    <vt:lpwstr>True</vt:lpwstr>
  </property>
  <property fmtid="{D5CDD505-2E9C-101B-9397-08002B2CF9AE}" pid="23" name="Mendeley Unique User Id_1">
    <vt:lpwstr>e8fd3ab7-4067-38c9-85e6-cc3701c92001</vt:lpwstr>
  </property>
  <property fmtid="{D5CDD505-2E9C-101B-9397-08002B2CF9AE}" pid="24" name="Mendeley Citation Style_1">
    <vt:lpwstr>http://www.zotero.org/styles/peerj</vt:lpwstr>
  </property>
</Properties>
</file>