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D9" w:rsidRPr="00271843" w:rsidRDefault="00D55037" w:rsidP="00F07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SUPPLEMENTS</w:t>
      </w:r>
    </w:p>
    <w:p w:rsidR="00F079D9" w:rsidRPr="00271843" w:rsidRDefault="00F079D9" w:rsidP="00F079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9D9" w:rsidRDefault="00F079D9" w:rsidP="00F07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S1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79D9">
        <w:rPr>
          <w:rFonts w:ascii="Times New Roman" w:hAnsi="Times New Roman" w:cs="Times New Roman"/>
          <w:sz w:val="24"/>
          <w:szCs w:val="24"/>
          <w:lang w:val="en-US"/>
        </w:rPr>
        <w:t xml:space="preserve">revalence of </w:t>
      </w:r>
      <w:r w:rsidR="00D664E5">
        <w:rPr>
          <w:rFonts w:ascii="Times New Roman" w:hAnsi="Times New Roman" w:cs="Times New Roman"/>
          <w:sz w:val="24"/>
          <w:szCs w:val="24"/>
          <w:lang w:val="en-US"/>
        </w:rPr>
        <w:t>COVID-19-associated hospitalizations and cumulative incidence of COVID-19</w:t>
      </w:r>
      <w:r w:rsidR="00521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3E0">
        <w:rPr>
          <w:rFonts w:ascii="Times New Roman" w:hAnsi="Times New Roman" w:cs="Times New Roman"/>
          <w:sz w:val="24"/>
          <w:szCs w:val="24"/>
          <w:lang w:val="en-US"/>
        </w:rPr>
        <w:t xml:space="preserve">cases </w:t>
      </w:r>
      <w:r w:rsidR="00521AF1">
        <w:rPr>
          <w:rFonts w:ascii="Times New Roman" w:hAnsi="Times New Roman" w:cs="Times New Roman"/>
          <w:sz w:val="24"/>
          <w:szCs w:val="24"/>
          <w:lang w:val="en-US"/>
        </w:rPr>
        <w:t xml:space="preserve">(×100,000 population) </w:t>
      </w:r>
      <w:r w:rsidRPr="00F079D9">
        <w:rPr>
          <w:rFonts w:ascii="Times New Roman" w:hAnsi="Times New Roman" w:cs="Times New Roman"/>
          <w:sz w:val="24"/>
          <w:szCs w:val="24"/>
          <w:lang w:val="en-US"/>
        </w:rPr>
        <w:t>in Piedmont</w:t>
      </w:r>
      <w:r w:rsidR="00985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79D9">
        <w:rPr>
          <w:rFonts w:ascii="Times New Roman" w:hAnsi="Times New Roman" w:cs="Times New Roman"/>
          <w:sz w:val="24"/>
          <w:szCs w:val="24"/>
          <w:lang w:val="en-US"/>
        </w:rPr>
        <w:t xml:space="preserve">Emilia-Romagna </w:t>
      </w:r>
      <w:r w:rsidR="00985C4D">
        <w:rPr>
          <w:rFonts w:ascii="Times New Roman" w:hAnsi="Times New Roman" w:cs="Times New Roman"/>
          <w:sz w:val="24"/>
          <w:szCs w:val="24"/>
          <w:lang w:val="en-US"/>
        </w:rPr>
        <w:t xml:space="preserve">and Italy </w:t>
      </w:r>
      <w:r w:rsidRPr="00F079D9">
        <w:rPr>
          <w:rFonts w:ascii="Times New Roman" w:hAnsi="Times New Roman" w:cs="Times New Roman"/>
          <w:sz w:val="24"/>
          <w:szCs w:val="24"/>
          <w:lang w:val="en-US"/>
        </w:rPr>
        <w:t>between February 24</w:t>
      </w:r>
      <w:r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Pr="00F079D9">
        <w:rPr>
          <w:rFonts w:ascii="Times New Roman" w:hAnsi="Times New Roman" w:cs="Times New Roman"/>
          <w:sz w:val="24"/>
          <w:szCs w:val="24"/>
          <w:lang w:val="en-US"/>
        </w:rPr>
        <w:t xml:space="preserve"> and June 9, 2020.</w:t>
      </w:r>
    </w:p>
    <w:p w:rsidR="00F079D9" w:rsidRDefault="00985C4D" w:rsidP="00F07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985C4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716000" cy="7288365"/>
            <wp:effectExtent l="0" t="0" r="889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72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9D9" w:rsidRDefault="00F079D9" w:rsidP="009E6DE8">
      <w:pPr>
        <w:spacing w:after="0"/>
        <w:rPr>
          <w:rFonts w:ascii="Times New Roman" w:hAnsi="Times New Roman" w:cs="Times New Roman"/>
          <w:lang w:val="en-US"/>
        </w:rPr>
      </w:pPr>
      <w:bookmarkStart w:id="1" w:name="_Hlk77258619"/>
      <w:r w:rsidRPr="00271843">
        <w:rPr>
          <w:rFonts w:ascii="Times New Roman" w:hAnsi="Times New Roman" w:cs="Times New Roman"/>
          <w:i/>
          <w:lang w:val="en-US"/>
        </w:rPr>
        <w:t>Note:</w:t>
      </w:r>
      <w:r w:rsidRPr="002718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Dashed vertical line is Italy’s COVID-19 national lockdown (</w:t>
      </w:r>
      <w:r w:rsidR="001E7615">
        <w:rPr>
          <w:rFonts w:ascii="Times New Roman" w:hAnsi="Times New Roman" w:cs="Times New Roman"/>
          <w:lang w:val="en-US"/>
        </w:rPr>
        <w:t>March 10, 2020</w:t>
      </w:r>
      <w:r>
        <w:rPr>
          <w:rFonts w:ascii="Times New Roman" w:hAnsi="Times New Roman" w:cs="Times New Roman"/>
          <w:lang w:val="en-US"/>
        </w:rPr>
        <w:t>)</w:t>
      </w:r>
      <w:r w:rsidRPr="00271843">
        <w:rPr>
          <w:rFonts w:ascii="Times New Roman" w:hAnsi="Times New Roman" w:cs="Times New Roman"/>
          <w:lang w:val="en-US"/>
        </w:rPr>
        <w:t>.</w:t>
      </w:r>
    </w:p>
    <w:p w:rsidR="009E6DE8" w:rsidRPr="00635A86" w:rsidRDefault="009E6DE8" w:rsidP="00F079D9">
      <w:pPr>
        <w:rPr>
          <w:rFonts w:ascii="Times New Roman" w:hAnsi="Times New Roman" w:cs="Times New Roman"/>
        </w:rPr>
      </w:pPr>
      <w:r w:rsidRPr="00635A86">
        <w:rPr>
          <w:rFonts w:ascii="Times New Roman" w:hAnsi="Times New Roman" w:cs="Times New Roman"/>
          <w:i/>
        </w:rPr>
        <w:t>Source:</w:t>
      </w:r>
      <w:r w:rsidRPr="00635A86">
        <w:rPr>
          <w:rFonts w:ascii="Times New Roman" w:hAnsi="Times New Roman" w:cs="Times New Roman"/>
        </w:rPr>
        <w:t xml:space="preserve"> </w:t>
      </w:r>
      <w:r w:rsidRPr="00635A86">
        <w:rPr>
          <w:rFonts w:ascii="Times New Roman" w:hAnsi="Times New Roman" w:cs="Times New Roman"/>
          <w:i/>
        </w:rPr>
        <w:t>Dipartimento della protezione civile</w:t>
      </w:r>
      <w:r w:rsidRPr="00635A86">
        <w:rPr>
          <w:rFonts w:ascii="Times New Roman" w:hAnsi="Times New Roman" w:cs="Times New Roman"/>
        </w:rPr>
        <w:t>.</w:t>
      </w:r>
      <w:bookmarkEnd w:id="1"/>
    </w:p>
    <w:p w:rsidR="00261EE2" w:rsidRPr="00261EE2" w:rsidRDefault="00F079D9" w:rsidP="00261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Hlk75194357"/>
      <w:r w:rsidRPr="00A33D01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261EE2" w:rsidRPr="00261E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261EE2" w:rsidRPr="00AA310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A3101" w:rsidRPr="00AA310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1EE2" w:rsidRPr="0026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EE2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</w:t>
      </w:r>
      <w:r w:rsidR="00822D47">
        <w:rPr>
          <w:rFonts w:ascii="Times New Roman" w:hAnsi="Times New Roman" w:cs="Times New Roman"/>
          <w:sz w:val="24"/>
          <w:szCs w:val="24"/>
          <w:lang w:val="en-US"/>
        </w:rPr>
        <w:t xml:space="preserve">hip-fracture </w:t>
      </w:r>
      <w:r w:rsidR="00C97663">
        <w:rPr>
          <w:rFonts w:ascii="Times New Roman" w:hAnsi="Times New Roman" w:cs="Times New Roman"/>
          <w:sz w:val="24"/>
          <w:szCs w:val="24"/>
          <w:lang w:val="en-US"/>
        </w:rPr>
        <w:t>patients and</w:t>
      </w:r>
      <w:r w:rsidR="00261EE2">
        <w:rPr>
          <w:rFonts w:ascii="Times New Roman" w:hAnsi="Times New Roman" w:cs="Times New Roman"/>
          <w:sz w:val="24"/>
          <w:szCs w:val="24"/>
          <w:lang w:val="en-US"/>
        </w:rPr>
        <w:t xml:space="preserve"> admitting hospitals in Piedmont and Emilia-Romagna between November 20, 2019 and June 30, 2020</w:t>
      </w:r>
      <w:r w:rsidR="00261EE2" w:rsidRPr="00261EE2">
        <w:rPr>
          <w:rFonts w:ascii="Times New Roman" w:hAnsi="Times New Roman" w:cs="Times New Roman"/>
          <w:sz w:val="24"/>
          <w:szCs w:val="24"/>
          <w:lang w:val="en-US"/>
        </w:rPr>
        <w:t xml:space="preserve">, by </w:t>
      </w:r>
      <w:r w:rsidR="00261EE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61EE2" w:rsidRPr="00261EE2">
        <w:rPr>
          <w:rFonts w:ascii="Times New Roman" w:hAnsi="Times New Roman" w:cs="Times New Roman"/>
          <w:sz w:val="24"/>
          <w:szCs w:val="24"/>
          <w:lang w:val="en-US"/>
        </w:rPr>
        <w:t>-week period</w:t>
      </w:r>
      <w:r w:rsidR="00261EE2">
        <w:rPr>
          <w:rFonts w:ascii="Times New Roman" w:hAnsi="Times New Roman" w:cs="Times New Roman"/>
          <w:sz w:val="24"/>
          <w:szCs w:val="24"/>
          <w:lang w:val="en-US"/>
        </w:rPr>
        <w:t>; v</w:t>
      </w:r>
      <w:r w:rsidR="00261EE2" w:rsidRPr="00261EE2">
        <w:rPr>
          <w:rFonts w:ascii="Times New Roman" w:hAnsi="Times New Roman" w:cs="Times New Roman"/>
          <w:sz w:val="24"/>
          <w:szCs w:val="24"/>
          <w:lang w:val="en-US"/>
        </w:rPr>
        <w:t>alues are counts (percentages).</w:t>
      </w:r>
    </w:p>
    <w:tbl>
      <w:tblPr>
        <w:tblStyle w:val="Grigliatabella"/>
        <w:tblW w:w="82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339"/>
        <w:gridCol w:w="1232"/>
        <w:gridCol w:w="15"/>
        <w:gridCol w:w="1339"/>
        <w:gridCol w:w="1324"/>
        <w:gridCol w:w="15"/>
      </w:tblGrid>
      <w:tr w:rsidR="00635A86" w:rsidRPr="00EB5DFB" w:rsidTr="00711512">
        <w:trPr>
          <w:gridAfter w:val="1"/>
          <w:wAfter w:w="15" w:type="dxa"/>
        </w:trPr>
        <w:tc>
          <w:tcPr>
            <w:tcW w:w="3021" w:type="dxa"/>
            <w:vMerge w:val="restart"/>
            <w:shd w:val="clear" w:color="auto" w:fill="F2F2F2" w:themeFill="background1" w:themeFillShade="F2"/>
            <w:vAlign w:val="center"/>
          </w:tcPr>
          <w:bookmarkEnd w:id="2"/>
          <w:p w:rsidR="00635A86" w:rsidRPr="00EB5DFB" w:rsidRDefault="00635A86" w:rsidP="008E1A65">
            <w:pPr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Hospital characteristic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Piedmont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Emilia-Romagna</w:t>
            </w:r>
          </w:p>
        </w:tc>
      </w:tr>
      <w:tr w:rsidR="00635A86" w:rsidRPr="00EB5DFB" w:rsidTr="00711512">
        <w:tc>
          <w:tcPr>
            <w:tcW w:w="3021" w:type="dxa"/>
            <w:vMerge/>
            <w:vAlign w:val="center"/>
          </w:tcPr>
          <w:p w:rsidR="00635A86" w:rsidRPr="00EB5DFB" w:rsidRDefault="00635A86" w:rsidP="008E1A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Nov-20 to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Mar-11 to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Nov-20 to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Mar-11 to</w:t>
            </w:r>
          </w:p>
        </w:tc>
      </w:tr>
      <w:tr w:rsidR="00635A86" w:rsidRPr="00EB5DFB" w:rsidTr="00711512">
        <w:tc>
          <w:tcPr>
            <w:tcW w:w="3021" w:type="dxa"/>
            <w:vMerge/>
            <w:tcBorders>
              <w:bottom w:val="single" w:sz="4" w:space="0" w:color="auto"/>
            </w:tcBorders>
            <w:vAlign w:val="center"/>
          </w:tcPr>
          <w:p w:rsidR="00635A86" w:rsidRPr="00EB5DFB" w:rsidRDefault="00635A86" w:rsidP="008E1A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Mar-10</w:t>
            </w: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June-30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Mar-10</w:t>
            </w:r>
          </w:p>
        </w:tc>
        <w:tc>
          <w:tcPr>
            <w:tcW w:w="133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A86" w:rsidRPr="00EB5DFB" w:rsidRDefault="00635A86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June-30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8E1A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413 (24.3)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 (25.7)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 (25.7)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372 (25.4)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1285 (75.7)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1031 (74.3)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1286 (74.3)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1093 (74.6)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8E1A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group, y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&lt;80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427 (25.1)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352 (25.4)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 (26.0)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 (24.6)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80–84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 (23.1)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 (24.3)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 (22.3)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 (22.7)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85–89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491 (28.9)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 (28.9)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458 (26.5)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 (27.5)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≥90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 (22.8)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 (21.5)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438 (25.3)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 (25.2)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8E1A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Charlson index score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1442 (84.9)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1176 (84.7)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1465 (84.7)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1277 (87.2)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 (11.7)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 (11.3)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 (9.9)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8E1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 (8.3)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≥2</w:t>
            </w:r>
          </w:p>
        </w:tc>
        <w:tc>
          <w:tcPr>
            <w:tcW w:w="1339" w:type="dxa"/>
            <w:vAlign w:val="center"/>
          </w:tcPr>
          <w:p w:rsidR="00C97663" w:rsidRPr="00EB5DFB" w:rsidRDefault="00711512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 (3.4)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711512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(4.0)</w:t>
            </w:r>
          </w:p>
        </w:tc>
        <w:tc>
          <w:tcPr>
            <w:tcW w:w="1339" w:type="dxa"/>
            <w:vAlign w:val="center"/>
          </w:tcPr>
          <w:p w:rsidR="00C97663" w:rsidRPr="00EB5DFB" w:rsidRDefault="00E6377A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 (5.4)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E6377A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(4.5)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Status/ownership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ocal healthcare authority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1255 (73.9)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935 (67.4)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1250 (72.3)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958 (65.4)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Research/teaching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407 (24.0)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436 (31.4)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73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 xml:space="preserve"> (27.3)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502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 xml:space="preserve"> (34.3)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Private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36 (2.1)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17 (1.2)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7 (0.4)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5 (0.3)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Location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Cities</w:t>
            </w:r>
          </w:p>
        </w:tc>
        <w:tc>
          <w:tcPr>
            <w:tcW w:w="1339" w:type="dxa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684 (40.3)</w:t>
            </w:r>
          </w:p>
        </w:tc>
        <w:tc>
          <w:tcPr>
            <w:tcW w:w="1247" w:type="dxa"/>
            <w:gridSpan w:val="2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680 (49.0)</w:t>
            </w:r>
          </w:p>
        </w:tc>
        <w:tc>
          <w:tcPr>
            <w:tcW w:w="1339" w:type="dxa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1211 (70.0)</w:t>
            </w:r>
          </w:p>
        </w:tc>
        <w:tc>
          <w:tcPr>
            <w:tcW w:w="1339" w:type="dxa"/>
            <w:gridSpan w:val="2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1048 (71.5)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Towns/suburbs</w:t>
            </w:r>
          </w:p>
        </w:tc>
        <w:tc>
          <w:tcPr>
            <w:tcW w:w="1339" w:type="dxa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1014 (59.7)</w:t>
            </w:r>
          </w:p>
        </w:tc>
        <w:tc>
          <w:tcPr>
            <w:tcW w:w="1247" w:type="dxa"/>
            <w:gridSpan w:val="2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708 (51.0)</w:t>
            </w:r>
          </w:p>
        </w:tc>
        <w:tc>
          <w:tcPr>
            <w:tcW w:w="1339" w:type="dxa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455 (26.3)</w:t>
            </w:r>
          </w:p>
        </w:tc>
        <w:tc>
          <w:tcPr>
            <w:tcW w:w="1339" w:type="dxa"/>
            <w:gridSpan w:val="2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371 (25.3)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Rural areas</w:t>
            </w:r>
          </w:p>
        </w:tc>
        <w:tc>
          <w:tcPr>
            <w:tcW w:w="1339" w:type="dxa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0 (0.0)</w:t>
            </w:r>
          </w:p>
        </w:tc>
        <w:tc>
          <w:tcPr>
            <w:tcW w:w="1247" w:type="dxa"/>
            <w:gridSpan w:val="2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0 (0.0)</w:t>
            </w:r>
          </w:p>
        </w:tc>
        <w:tc>
          <w:tcPr>
            <w:tcW w:w="1339" w:type="dxa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64 (3.7)</w:t>
            </w:r>
          </w:p>
        </w:tc>
        <w:tc>
          <w:tcPr>
            <w:tcW w:w="1339" w:type="dxa"/>
            <w:gridSpan w:val="2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46 (3.1)</w:t>
            </w:r>
          </w:p>
        </w:tc>
      </w:tr>
      <w:tr w:rsidR="00C97663" w:rsidRPr="00A33D01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 xml:space="preserve">Avg. annual n. of </w:t>
            </w:r>
            <w:r>
              <w:rPr>
                <w:rFonts w:ascii="Times New Roman" w:hAnsi="Times New Roman" w:cs="Times New Roman"/>
                <w:lang w:val="en-US"/>
              </w:rPr>
              <w:t>hip fractures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&lt;50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5 (0.3)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5 (0.4)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70 (4.0)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30 (2.0)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50–149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234 (13.8)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157 (11.3)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209 (12.1)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164 (11.2)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150–249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621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36.6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425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30.6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286 (16.5)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367 (25.1)</w:t>
            </w:r>
          </w:p>
        </w:tc>
      </w:tr>
      <w:tr w:rsidR="00C97663" w:rsidRPr="00EB5DFB" w:rsidTr="00711512">
        <w:tc>
          <w:tcPr>
            <w:tcW w:w="3021" w:type="dxa"/>
            <w:vAlign w:val="center"/>
          </w:tcPr>
          <w:p w:rsidR="00C97663" w:rsidRPr="00EB5DFB" w:rsidRDefault="00C97663" w:rsidP="00C97663">
            <w:pPr>
              <w:ind w:firstLine="170"/>
              <w:rPr>
                <w:rFonts w:ascii="Times New Roman" w:hAnsi="Times New Roman" w:cs="Times New Roman"/>
                <w:lang w:val="en-US"/>
              </w:rPr>
            </w:pPr>
            <w:r w:rsidRPr="00EB5DFB">
              <w:rPr>
                <w:rFonts w:ascii="Times New Roman" w:hAnsi="Times New Roman" w:cs="Times New Roman"/>
                <w:lang w:val="en-US"/>
              </w:rPr>
              <w:t>≥250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838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49.4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247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801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57.7</w:t>
            </w:r>
            <w:r w:rsidRPr="00EB5DF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39" w:type="dxa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1165 (67.3)</w:t>
            </w:r>
          </w:p>
        </w:tc>
        <w:tc>
          <w:tcPr>
            <w:tcW w:w="1339" w:type="dxa"/>
            <w:gridSpan w:val="2"/>
            <w:vAlign w:val="center"/>
          </w:tcPr>
          <w:p w:rsidR="00C97663" w:rsidRPr="00EB5DFB" w:rsidRDefault="00C97663" w:rsidP="00C976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DFB">
              <w:rPr>
                <w:rFonts w:ascii="Times New Roman" w:eastAsia="Times New Roman" w:hAnsi="Times New Roman" w:cs="Times New Roman"/>
                <w:lang w:val="en-US"/>
              </w:rPr>
              <w:t>904 (61.7)</w:t>
            </w:r>
          </w:p>
        </w:tc>
      </w:tr>
    </w:tbl>
    <w:p w:rsidR="00EB5DFB" w:rsidRDefault="00EB5DFB" w:rsidP="00261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DFB" w:rsidRDefault="00EB5DFB" w:rsidP="00261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1EE2" w:rsidRPr="00261EE2" w:rsidRDefault="00261EE2" w:rsidP="00261EE2">
      <w:pPr>
        <w:rPr>
          <w:rFonts w:asciiTheme="majorBidi" w:eastAsia="Times New Roman" w:hAnsiTheme="majorBidi" w:cstheme="majorBidi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36549" w:rsidRPr="00271843" w:rsidRDefault="00236549" w:rsidP="002365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1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AA3101" w:rsidRPr="00AA3101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AA31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3101">
        <w:rPr>
          <w:rFonts w:ascii="Times New Roman" w:hAnsi="Times New Roman" w:cs="Times New Roman"/>
          <w:sz w:val="24"/>
          <w:szCs w:val="24"/>
          <w:lang w:val="en-US"/>
        </w:rPr>
        <w:t>Hip-fracture surgery (%) initiated within 2 days, within 1 day and on the same day as hospital admission in Piedmont and Emilia-Romagna, Italy, by 13-week observation period; secondary diagnoses of upper femur fracture are excluded (153 in Piedmont and 125 in Emilia-Romagna)</w:t>
      </w:r>
      <w:r w:rsidR="00A33D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gliatabella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36549" w:rsidRPr="00271843" w:rsidTr="00F93B73">
        <w:tc>
          <w:tcPr>
            <w:tcW w:w="17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Thirteen</w:t>
            </w:r>
            <w:r w:rsidRPr="00271843">
              <w:rPr>
                <w:rFonts w:ascii="Times New Roman" w:hAnsi="Times New Roman" w:cs="Times New Roman"/>
                <w:lang w:val="en-US"/>
              </w:rPr>
              <w:t>-week observation period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Piedmont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Emilia-Romagna</w:t>
            </w:r>
          </w:p>
        </w:tc>
      </w:tr>
      <w:tr w:rsidR="00236549" w:rsidRPr="00271843" w:rsidTr="00F93B73"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Crude rate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Standardized 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10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Crude rate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Standardized 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10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236549" w:rsidRPr="00271843" w:rsidTr="00F93B73"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843">
              <w:rPr>
                <w:rFonts w:ascii="Times New Roman" w:hAnsi="Times New Roman" w:cs="Times New Roman"/>
                <w:lang w:val="en-US"/>
              </w:rPr>
              <w:t>Day 0</w:t>
            </w:r>
          </w:p>
        </w:tc>
      </w:tr>
      <w:tr w:rsidR="00236549" w:rsidRPr="00271843" w:rsidTr="00F93B73"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  <w:r w:rsidRPr="00440C58">
              <w:rPr>
                <w:rFonts w:ascii="Times New Roman" w:hAnsi="Times New Roman" w:cs="Times New Roman"/>
                <w:lang w:val="en-US"/>
              </w:rPr>
              <w:t>Dec-11-2018 to Mar-11-2019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72.3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46.7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13.4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72.0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46.4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13.4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79.2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43.1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8.8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79.1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43.0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8.6</w:t>
            </w:r>
          </w:p>
        </w:tc>
      </w:tr>
      <w:tr w:rsidR="00236549" w:rsidRPr="00271843" w:rsidTr="00F93B73">
        <w:tc>
          <w:tcPr>
            <w:tcW w:w="1757" w:type="dxa"/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  <w:r w:rsidRPr="00440C58">
              <w:rPr>
                <w:rFonts w:ascii="Times New Roman" w:hAnsi="Times New Roman" w:cs="Times New Roman"/>
                <w:lang w:val="en-US"/>
              </w:rPr>
              <w:t>Mar-12-2019 to Jun-10-2019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70.9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44.6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14.0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70.9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44.7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14.0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77.1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44.4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77.4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44.7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9.1</w:t>
            </w:r>
          </w:p>
        </w:tc>
      </w:tr>
      <w:tr w:rsidR="00236549" w:rsidRPr="00271843" w:rsidTr="00F93B73">
        <w:tc>
          <w:tcPr>
            <w:tcW w:w="1757" w:type="dxa"/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  <w:r w:rsidRPr="00440C58">
              <w:rPr>
                <w:rFonts w:ascii="Times New Roman" w:hAnsi="Times New Roman" w:cs="Times New Roman"/>
                <w:lang w:val="en-US"/>
              </w:rPr>
              <w:t>Dec-11-2019 to Mar-10-2020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71.2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46.3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12.9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70.9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46.1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12.8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80.6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47.8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10.4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80.4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47.8</w:t>
            </w:r>
          </w:p>
        </w:tc>
        <w:tc>
          <w:tcPr>
            <w:tcW w:w="624" w:type="dxa"/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10.5</w:t>
            </w:r>
          </w:p>
        </w:tc>
      </w:tr>
      <w:tr w:rsidR="00236549" w:rsidRPr="00271843" w:rsidTr="00F93B73"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rPr>
                <w:rFonts w:ascii="Times New Roman" w:hAnsi="Times New Roman" w:cs="Times New Roman"/>
                <w:lang w:val="en-US"/>
              </w:rPr>
            </w:pPr>
            <w:r w:rsidRPr="00440C58">
              <w:rPr>
                <w:rFonts w:ascii="Times New Roman" w:hAnsi="Times New Roman" w:cs="Times New Roman"/>
                <w:lang w:val="en-US"/>
              </w:rPr>
              <w:t>Mar-11-2020 to Jun-09-2020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71.3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47.8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12.6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71.3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47.8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12.6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71.1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43.1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7.7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71.0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43.0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36549" w:rsidRPr="00271843" w:rsidRDefault="00236549" w:rsidP="00F93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3AA3">
              <w:rPr>
                <w:rFonts w:ascii="Times New Roman" w:hAnsi="Times New Roman" w:cs="Times New Roman"/>
                <w:lang w:val="en-US"/>
              </w:rPr>
              <w:t>7.6</w:t>
            </w:r>
          </w:p>
        </w:tc>
      </w:tr>
    </w:tbl>
    <w:p w:rsidR="00236549" w:rsidRPr="004D1109" w:rsidRDefault="00236549" w:rsidP="00236549">
      <w:pPr>
        <w:spacing w:after="0" w:line="360" w:lineRule="auto"/>
        <w:rPr>
          <w:rFonts w:ascii="Times New Roman" w:hAnsi="Times New Roman" w:cs="Times New Roman"/>
          <w:lang w:val="en-US"/>
        </w:rPr>
      </w:pPr>
      <w:bookmarkStart w:id="3" w:name="_Hlk77258641"/>
      <w:r w:rsidRPr="004D1109"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D1109">
        <w:rPr>
          <w:rFonts w:ascii="Times New Roman" w:hAnsi="Times New Roman" w:cs="Times New Roman"/>
          <w:lang w:val="en-US"/>
        </w:rPr>
        <w:t>By</w:t>
      </w:r>
      <w:proofErr w:type="gramEnd"/>
      <w:r w:rsidRPr="004D1109">
        <w:rPr>
          <w:rFonts w:ascii="Times New Roman" w:hAnsi="Times New Roman" w:cs="Times New Roman"/>
          <w:lang w:val="en-US"/>
        </w:rPr>
        <w:t xml:space="preserve"> sex, age and enhanced Charlson index with direct standardization to the overall composition of hip fractures included in the study.</w:t>
      </w:r>
      <w:bookmarkEnd w:id="3"/>
      <w:r w:rsidRPr="004D110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33D01" w:rsidRPr="00271843" w:rsidRDefault="00A33D01" w:rsidP="00A33D0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D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Fig. S2</w:t>
      </w:r>
      <w:r w:rsidRPr="00A33D01">
        <w:rPr>
          <w:rFonts w:ascii="Times New Roman" w:hAnsi="Times New Roman" w:cs="Times New Roman"/>
          <w:sz w:val="24"/>
          <w:szCs w:val="24"/>
          <w:lang w:val="en-US"/>
        </w:rPr>
        <w:t xml:space="preserve"> Interrupted time-series analysis of weekly sex-, age- and comorbidity-standardized percentages of hip-fracture surgery in Piedmont and Emilia-Romagna in the 13 weeks before and after Italy’s COVID-19 national lockdown (dashed vertical line); secondary diagnoses of upper femur fracture are excluded (153 in Piedmont and 125 in Emilia-Romagna).</w:t>
      </w:r>
    </w:p>
    <w:p w:rsidR="00236549" w:rsidRPr="00271843" w:rsidRDefault="00236549" w:rsidP="002365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84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142ADF" wp14:editId="4BBD7218">
            <wp:extent cx="4788000" cy="739963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73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D9" w:rsidRPr="00236549" w:rsidRDefault="00A33D01" w:rsidP="00A33D01">
      <w:pPr>
        <w:spacing w:line="360" w:lineRule="auto"/>
        <w:rPr>
          <w:lang w:val="en-US"/>
        </w:rPr>
      </w:pPr>
      <w:r w:rsidRPr="00A33D01">
        <w:rPr>
          <w:rFonts w:ascii="Times New Roman" w:hAnsi="Times New Roman" w:cs="Times New Roman"/>
          <w:i/>
          <w:lang w:val="en-US"/>
        </w:rPr>
        <w:t>Note:</w:t>
      </w:r>
      <w:r w:rsidRPr="00A33D01">
        <w:rPr>
          <w:rFonts w:ascii="Times New Roman" w:hAnsi="Times New Roman" w:cs="Times New Roman"/>
          <w:lang w:val="en-US"/>
        </w:rPr>
        <w:t xml:space="preserve"> </w:t>
      </w:r>
      <w:r w:rsidRPr="00A33D01">
        <w:rPr>
          <w:rFonts w:ascii="Times New Roman" w:hAnsi="Times New Roman" w:cs="Times New Roman"/>
          <w:lang w:val="en-US"/>
        </w:rPr>
        <w:t>Data observed the year before (</w:t>
      </w:r>
      <w:r w:rsidRPr="00A33D01">
        <w:rPr>
          <w:rFonts w:ascii="Times New Roman" w:hAnsi="Times New Roman" w:cs="Times New Roman"/>
          <w:lang w:val="en-US"/>
        </w:rPr>
        <w:t>2018/19</w:t>
      </w:r>
      <w:r w:rsidRPr="00A33D01">
        <w:rPr>
          <w:rFonts w:ascii="Times New Roman" w:hAnsi="Times New Roman" w:cs="Times New Roman"/>
          <w:lang w:val="en-US"/>
        </w:rPr>
        <w:t>) are used for comparison</w:t>
      </w:r>
      <w:r w:rsidRPr="00A33D01">
        <w:rPr>
          <w:rFonts w:ascii="Times New Roman" w:hAnsi="Times New Roman" w:cs="Times New Roman"/>
          <w:lang w:val="en-US"/>
        </w:rPr>
        <w:t xml:space="preserve">. </w:t>
      </w:r>
      <w:r w:rsidRPr="00A33D01">
        <w:rPr>
          <w:rFonts w:ascii="Times New Roman" w:hAnsi="Times New Roman" w:cs="Times New Roman"/>
          <w:lang w:val="en-US"/>
        </w:rPr>
        <w:t>The last day of the control period is June 10, 2019, because 2019 is a common (non-leap) year.</w:t>
      </w:r>
    </w:p>
    <w:sectPr w:rsidR="00F079D9" w:rsidRPr="00236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26" w:rsidRDefault="008D6A26" w:rsidP="00F079D9">
      <w:pPr>
        <w:spacing w:after="0" w:line="240" w:lineRule="auto"/>
      </w:pPr>
      <w:r>
        <w:separator/>
      </w:r>
    </w:p>
  </w:endnote>
  <w:endnote w:type="continuationSeparator" w:id="0">
    <w:p w:rsidR="008D6A26" w:rsidRDefault="008D6A26" w:rsidP="00F0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26" w:rsidRDefault="008D6A26" w:rsidP="00F079D9">
      <w:pPr>
        <w:spacing w:after="0" w:line="240" w:lineRule="auto"/>
      </w:pPr>
      <w:r>
        <w:separator/>
      </w:r>
    </w:p>
  </w:footnote>
  <w:footnote w:type="continuationSeparator" w:id="0">
    <w:p w:rsidR="008D6A26" w:rsidRDefault="008D6A26" w:rsidP="00F0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9"/>
    <w:rsid w:val="001544B1"/>
    <w:rsid w:val="001E7615"/>
    <w:rsid w:val="00221BBC"/>
    <w:rsid w:val="002303E0"/>
    <w:rsid w:val="002334B5"/>
    <w:rsid w:val="00236549"/>
    <w:rsid w:val="00261EE2"/>
    <w:rsid w:val="002B3635"/>
    <w:rsid w:val="003A5EC6"/>
    <w:rsid w:val="00445C95"/>
    <w:rsid w:val="004D67E8"/>
    <w:rsid w:val="00521AF1"/>
    <w:rsid w:val="005B7797"/>
    <w:rsid w:val="00635A86"/>
    <w:rsid w:val="00711512"/>
    <w:rsid w:val="007926EC"/>
    <w:rsid w:val="00822D47"/>
    <w:rsid w:val="008D6A26"/>
    <w:rsid w:val="008E1A65"/>
    <w:rsid w:val="00985C4D"/>
    <w:rsid w:val="009E6DE8"/>
    <w:rsid w:val="00A018E6"/>
    <w:rsid w:val="00A33D01"/>
    <w:rsid w:val="00A35ABA"/>
    <w:rsid w:val="00A50B21"/>
    <w:rsid w:val="00A732CD"/>
    <w:rsid w:val="00AA3101"/>
    <w:rsid w:val="00AC6A6F"/>
    <w:rsid w:val="00AF0F6C"/>
    <w:rsid w:val="00C35BC1"/>
    <w:rsid w:val="00C97663"/>
    <w:rsid w:val="00D55037"/>
    <w:rsid w:val="00D6013D"/>
    <w:rsid w:val="00D664E5"/>
    <w:rsid w:val="00E06117"/>
    <w:rsid w:val="00E56255"/>
    <w:rsid w:val="00E6377A"/>
    <w:rsid w:val="00EB5DFB"/>
    <w:rsid w:val="00F079D9"/>
    <w:rsid w:val="00F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BAB7"/>
  <w15:chartTrackingRefBased/>
  <w15:docId w15:val="{F7E2D0EF-B187-485B-8178-F8CCBD6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79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7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9D9"/>
  </w:style>
  <w:style w:type="paragraph" w:styleId="Pidipagina">
    <w:name w:val="footer"/>
    <w:basedOn w:val="Normale"/>
    <w:link w:val="PidipaginaCarattere"/>
    <w:uiPriority w:val="99"/>
    <w:unhideWhenUsed/>
    <w:rsid w:val="00F07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Lenzi</dc:creator>
  <cp:keywords/>
  <dc:description/>
  <cp:lastModifiedBy>Jacopo Lenzi</cp:lastModifiedBy>
  <cp:revision>18</cp:revision>
  <dcterms:created xsi:type="dcterms:W3CDTF">2021-06-21T13:20:00Z</dcterms:created>
  <dcterms:modified xsi:type="dcterms:W3CDTF">2021-07-22T06:14:00Z</dcterms:modified>
</cp:coreProperties>
</file>