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19" w:rsidRDefault="00A76AAD" w:rsidP="00853D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7CD4AC" wp14:editId="16EE30DB">
            <wp:extent cx="5274310" cy="3868420"/>
            <wp:effectExtent l="0" t="0" r="2540" b="1778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2AE1" w:rsidRDefault="00BD2AE1" w:rsidP="00BD2A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848D3E" wp14:editId="48B1A79D">
            <wp:extent cx="5210175" cy="3683000"/>
            <wp:effectExtent l="0" t="0" r="9525" b="1270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3DDC" w:rsidRPr="00006DED" w:rsidRDefault="0043043B" w:rsidP="00006DED">
      <w:pPr>
        <w:rPr>
          <w:rFonts w:ascii="Times New Roman" w:hAnsi="Times New Roman" w:cs="Times New Roman"/>
          <w:sz w:val="24"/>
          <w:szCs w:val="24"/>
        </w:rPr>
      </w:pPr>
      <w:r w:rsidRPr="0043043B">
        <w:rPr>
          <w:rFonts w:ascii="Times New Roman" w:hAnsi="Times New Roman" w:cs="Times New Roman"/>
          <w:sz w:val="24"/>
          <w:szCs w:val="24"/>
        </w:rPr>
        <w:t xml:space="preserve">Figure </w:t>
      </w:r>
      <w:r w:rsidR="00A76AAD">
        <w:rPr>
          <w:rFonts w:ascii="Times New Roman" w:hAnsi="Times New Roman" w:cs="Times New Roman" w:hint="eastAsia"/>
          <w:sz w:val="24"/>
          <w:szCs w:val="24"/>
        </w:rPr>
        <w:t>S</w:t>
      </w:r>
      <w:r w:rsidR="00A76AAD">
        <w:rPr>
          <w:rFonts w:ascii="Times New Roman" w:hAnsi="Times New Roman" w:cs="Times New Roman"/>
          <w:sz w:val="24"/>
          <w:szCs w:val="24"/>
        </w:rPr>
        <w:t>1</w:t>
      </w:r>
      <w:r w:rsidRPr="0043043B">
        <w:rPr>
          <w:rFonts w:ascii="Times New Roman" w:hAnsi="Times New Roman" w:cs="Times New Roman"/>
          <w:sz w:val="24"/>
          <w:szCs w:val="24"/>
        </w:rPr>
        <w:t xml:space="preserve"> Soil bacterial and fungal community ranking at the top ten at the </w:t>
      </w:r>
      <w:r w:rsidR="00A76AAD">
        <w:rPr>
          <w:rFonts w:ascii="Times New Roman" w:hAnsi="Times New Roman" w:cs="Times New Roman" w:hint="eastAsia"/>
          <w:sz w:val="24"/>
          <w:szCs w:val="24"/>
        </w:rPr>
        <w:t>genus</w:t>
      </w:r>
      <w:r w:rsidRPr="0043043B">
        <w:rPr>
          <w:rFonts w:ascii="Times New Roman" w:hAnsi="Times New Roman" w:cs="Times New Roman"/>
          <w:sz w:val="24"/>
          <w:szCs w:val="24"/>
        </w:rPr>
        <w:t xml:space="preserve"> level with the relative abundance more than 1%. PT: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Pinus</w:t>
      </w:r>
      <w:r w:rsidRPr="0043043B">
        <w:rPr>
          <w:rFonts w:ascii="Times New Roman" w:hAnsi="Times New Roman" w:cs="Times New Roman"/>
          <w:i/>
          <w:sz w:val="24"/>
          <w:szCs w:val="24"/>
        </w:rPr>
        <w:t xml:space="preserve"> tabuliformis</w:t>
      </w:r>
      <w:r w:rsidRPr="0043043B">
        <w:rPr>
          <w:rFonts w:ascii="Times New Roman" w:hAnsi="Times New Roman" w:cs="Times New Roman"/>
          <w:sz w:val="24"/>
          <w:szCs w:val="24"/>
        </w:rPr>
        <w:t xml:space="preserve">, </w:t>
      </w:r>
      <w:r w:rsidRPr="0043043B">
        <w:rPr>
          <w:rFonts w:ascii="Times New Roman" w:hAnsi="Times New Roman" w:cs="Times New Roman" w:hint="eastAsia"/>
          <w:sz w:val="24"/>
          <w:szCs w:val="24"/>
        </w:rPr>
        <w:t>PTAU</w:t>
      </w:r>
      <w:r w:rsidRPr="0043043B">
        <w:rPr>
          <w:rFonts w:ascii="Times New Roman" w:hAnsi="Times New Roman" w:cs="Times New Roman"/>
          <w:sz w:val="24"/>
          <w:szCs w:val="24"/>
        </w:rPr>
        <w:t>: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Pinus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tabuliformis</w:t>
      </w:r>
      <w:r w:rsidRPr="0043043B">
        <w:rPr>
          <w:rFonts w:ascii="Times New Roman" w:hAnsi="Times New Roman" w:cs="Times New Roman" w:hint="eastAsia"/>
          <w:sz w:val="24"/>
          <w:szCs w:val="24"/>
        </w:rPr>
        <w:t>-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Armeniaca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vulgaris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/>
          <w:sz w:val="24"/>
          <w:szCs w:val="24"/>
        </w:rPr>
        <w:t xml:space="preserve">mixed forest, </w:t>
      </w:r>
      <w:r w:rsidRPr="0043043B">
        <w:rPr>
          <w:rFonts w:ascii="Times New Roman" w:hAnsi="Times New Roman" w:cs="Times New Roman" w:hint="eastAsia"/>
          <w:sz w:val="24"/>
          <w:szCs w:val="24"/>
        </w:rPr>
        <w:t>PTRP</w:t>
      </w:r>
      <w:r w:rsidRPr="0043043B">
        <w:rPr>
          <w:rFonts w:ascii="Times New Roman" w:hAnsi="Times New Roman" w:cs="Times New Roman"/>
          <w:sz w:val="24"/>
          <w:szCs w:val="24"/>
        </w:rPr>
        <w:t>: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Pinus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tabuliformis</w:t>
      </w:r>
      <w:r w:rsidRPr="0043043B">
        <w:rPr>
          <w:rFonts w:ascii="Times New Roman" w:hAnsi="Times New Roman" w:cs="Times New Roman" w:hint="eastAsia"/>
          <w:sz w:val="24"/>
          <w:szCs w:val="24"/>
        </w:rPr>
        <w:t>-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Robinia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pseudoacacia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/>
          <w:sz w:val="24"/>
          <w:szCs w:val="24"/>
        </w:rPr>
        <w:t>mixed forest,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PTVN</w:t>
      </w:r>
      <w:r w:rsidRPr="0043043B">
        <w:rPr>
          <w:rFonts w:ascii="Times New Roman" w:hAnsi="Times New Roman" w:cs="Times New Roman"/>
          <w:sz w:val="24"/>
          <w:szCs w:val="24"/>
        </w:rPr>
        <w:t>: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Pinus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tabuliformis</w:t>
      </w:r>
      <w:r w:rsidRPr="0043043B">
        <w:rPr>
          <w:rFonts w:ascii="Times New Roman" w:hAnsi="Times New Roman" w:cs="Times New Roman" w:hint="eastAsia"/>
          <w:sz w:val="24"/>
          <w:szCs w:val="24"/>
        </w:rPr>
        <w:t>-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Vitex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negundo</w:t>
      </w:r>
      <w:r w:rsidRPr="0043043B">
        <w:rPr>
          <w:rFonts w:ascii="Times New Roman" w:hAnsi="Times New Roman" w:cs="Times New Roman" w:hint="eastAsia"/>
          <w:sz w:val="24"/>
          <w:szCs w:val="24"/>
        </w:rPr>
        <w:t xml:space="preserve"> L. var. </w:t>
      </w:r>
      <w:r w:rsidRPr="0043043B">
        <w:rPr>
          <w:rFonts w:ascii="Times New Roman" w:hAnsi="Times New Roman" w:cs="Times New Roman" w:hint="eastAsia"/>
          <w:i/>
          <w:sz w:val="24"/>
          <w:szCs w:val="24"/>
        </w:rPr>
        <w:t>heterophylla</w:t>
      </w:r>
      <w:r w:rsidRPr="0043043B">
        <w:rPr>
          <w:rFonts w:ascii="Times New Roman" w:hAnsi="Times New Roman" w:cs="Times New Roman"/>
          <w:sz w:val="24"/>
          <w:szCs w:val="24"/>
        </w:rPr>
        <w:t xml:space="preserve"> mixed forest.</w:t>
      </w:r>
      <w:r w:rsidR="00D07290">
        <w:rPr>
          <w:rFonts w:ascii="Times New Roman" w:hAnsi="Times New Roman" w:cs="Times New Roman"/>
          <w:sz w:val="24"/>
          <w:szCs w:val="24"/>
        </w:rPr>
        <w:t xml:space="preserve"> </w:t>
      </w:r>
      <w:r w:rsidR="002619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53DDC" w:rsidRPr="00006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99" w:rsidRDefault="00A60A99" w:rsidP="00BB1E19">
      <w:r>
        <w:separator/>
      </w:r>
    </w:p>
  </w:endnote>
  <w:endnote w:type="continuationSeparator" w:id="0">
    <w:p w:rsidR="00A60A99" w:rsidRDefault="00A60A99" w:rsidP="00B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99" w:rsidRDefault="00A60A99" w:rsidP="00BB1E19">
      <w:r>
        <w:separator/>
      </w:r>
    </w:p>
  </w:footnote>
  <w:footnote w:type="continuationSeparator" w:id="0">
    <w:p w:rsidR="00A60A99" w:rsidRDefault="00A60A99" w:rsidP="00BB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C"/>
    <w:rsid w:val="00006DED"/>
    <w:rsid w:val="001102AE"/>
    <w:rsid w:val="002517FF"/>
    <w:rsid w:val="002619FA"/>
    <w:rsid w:val="002953FB"/>
    <w:rsid w:val="0043043B"/>
    <w:rsid w:val="005065C3"/>
    <w:rsid w:val="007535AA"/>
    <w:rsid w:val="00853DDC"/>
    <w:rsid w:val="00A60A99"/>
    <w:rsid w:val="00A76AAD"/>
    <w:rsid w:val="00AB16B5"/>
    <w:rsid w:val="00BB1E19"/>
    <w:rsid w:val="00BD2AE1"/>
    <w:rsid w:val="00D07290"/>
    <w:rsid w:val="00D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FE08B-E2C9-4027-991E-65F6F467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8656;&#35201;&#20889;&#25991;&#31456;\&#27575;&#32769;&#24072;\&#32454;&#33740;&#25968;&#25454;\&#32454;&#33740;&#23646;&#27700;&#24179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8656;&#35201;&#20889;&#25991;&#31456;\&#27575;&#32769;&#24072;\&#30495;&#33740;&#25968;&#25454;\&#30495;&#33740;&#23646;&#27700;&#24179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A</a:t>
            </a:r>
            <a:endParaRPr lang="zh-C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属水平相对丰度!$A$50</c:f>
              <c:strCache>
                <c:ptCount val="1"/>
                <c:pt idx="0">
                  <c:v>others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属水平相对丰度!$B$50:$E$50</c:f>
              <c:numCache>
                <c:formatCode>General</c:formatCode>
                <c:ptCount val="4"/>
                <c:pt idx="0">
                  <c:v>64.668475711048799</c:v>
                </c:pt>
                <c:pt idx="1">
                  <c:v>68.46578830501916</c:v>
                </c:pt>
                <c:pt idx="2">
                  <c:v>63.956550208962049</c:v>
                </c:pt>
                <c:pt idx="3">
                  <c:v>65.149732141954502</c:v>
                </c:pt>
              </c:numCache>
            </c:numRef>
          </c:val>
        </c:ser>
        <c:ser>
          <c:idx val="1"/>
          <c:order val="1"/>
          <c:tx>
            <c:strRef>
              <c:f>属水平相对丰度!$A$51</c:f>
              <c:strCache>
                <c:ptCount val="1"/>
                <c:pt idx="0">
                  <c:v>Subgroup_6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属水平相对丰度!$B$51:$E$51</c:f>
              <c:numCache>
                <c:formatCode>General</c:formatCode>
                <c:ptCount val="4"/>
                <c:pt idx="0">
                  <c:v>6.6320803946546043</c:v>
                </c:pt>
                <c:pt idx="1">
                  <c:v>5.5950170510966322</c:v>
                </c:pt>
                <c:pt idx="2">
                  <c:v>12.018612025104161</c:v>
                </c:pt>
                <c:pt idx="3">
                  <c:v>5.7646720384874879</c:v>
                </c:pt>
              </c:numCache>
            </c:numRef>
          </c:val>
        </c:ser>
        <c:ser>
          <c:idx val="2"/>
          <c:order val="2"/>
          <c:tx>
            <c:strRef>
              <c:f>属水平相对丰度!$A$52</c:f>
              <c:strCache>
                <c:ptCount val="1"/>
                <c:pt idx="0">
                  <c:v>RB41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属水平相对丰度!$B$52:$E$52</c:f>
              <c:numCache>
                <c:formatCode>General</c:formatCode>
                <c:ptCount val="4"/>
                <c:pt idx="0">
                  <c:v>6.1879163299996955</c:v>
                </c:pt>
                <c:pt idx="1">
                  <c:v>3.5071786333951502</c:v>
                </c:pt>
                <c:pt idx="2">
                  <c:v>6.989096391391147</c:v>
                </c:pt>
                <c:pt idx="3">
                  <c:v>6.8960569416619943</c:v>
                </c:pt>
              </c:numCache>
            </c:numRef>
          </c:val>
        </c:ser>
        <c:ser>
          <c:idx val="3"/>
          <c:order val="3"/>
          <c:tx>
            <c:strRef>
              <c:f>属水平相对丰度!$A$53</c:f>
              <c:strCache>
                <c:ptCount val="1"/>
                <c:pt idx="0">
                  <c:v>Sphingomonas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属水平相对丰度!$B$53:$E$53</c:f>
              <c:numCache>
                <c:formatCode>General</c:formatCode>
                <c:ptCount val="4"/>
                <c:pt idx="0">
                  <c:v>7.7500347248240207</c:v>
                </c:pt>
                <c:pt idx="1">
                  <c:v>5.2877199863365449</c:v>
                </c:pt>
                <c:pt idx="2">
                  <c:v>5.03194224895711</c:v>
                </c:pt>
                <c:pt idx="3">
                  <c:v>5.0809457511558973</c:v>
                </c:pt>
              </c:numCache>
            </c:numRef>
          </c:val>
        </c:ser>
        <c:ser>
          <c:idx val="4"/>
          <c:order val="4"/>
          <c:tx>
            <c:strRef>
              <c:f>属水平相对丰度!$A$54</c:f>
              <c:strCache>
                <c:ptCount val="1"/>
                <c:pt idx="0">
                  <c:v>Blastococcus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属水平相对丰度!$B$54:$E$54</c:f>
              <c:numCache>
                <c:formatCode>General</c:formatCode>
                <c:ptCount val="4"/>
                <c:pt idx="0">
                  <c:v>2.0111826154581176</c:v>
                </c:pt>
                <c:pt idx="1">
                  <c:v>4.5689480031761729</c:v>
                </c:pt>
                <c:pt idx="2">
                  <c:v>1.3665836771793662</c:v>
                </c:pt>
                <c:pt idx="3">
                  <c:v>2.5334911118988925</c:v>
                </c:pt>
              </c:numCache>
            </c:numRef>
          </c:val>
        </c:ser>
        <c:ser>
          <c:idx val="5"/>
          <c:order val="5"/>
          <c:tx>
            <c:strRef>
              <c:f>属水平相对丰度!$A$55</c:f>
              <c:strCache>
                <c:ptCount val="1"/>
                <c:pt idx="0">
                  <c:v>Pseudonocardia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属水平相对丰度!$B$55:$E$55</c:f>
              <c:numCache>
                <c:formatCode>General</c:formatCode>
                <c:ptCount val="4"/>
                <c:pt idx="0">
                  <c:v>1.3518084319786225</c:v>
                </c:pt>
                <c:pt idx="1">
                  <c:v>3.6290755793550531</c:v>
                </c:pt>
                <c:pt idx="2">
                  <c:v>1.8576104230467825</c:v>
                </c:pt>
                <c:pt idx="3">
                  <c:v>3.429417359900675</c:v>
                </c:pt>
              </c:numCache>
            </c:numRef>
          </c:val>
        </c:ser>
        <c:ser>
          <c:idx val="6"/>
          <c:order val="6"/>
          <c:tx>
            <c:strRef>
              <c:f>属水平相对丰度!$A$56</c:f>
              <c:strCache>
                <c:ptCount val="1"/>
                <c:pt idx="0">
                  <c:v>Solirubrobacter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属水平相对丰度!$B$56:$E$56</c:f>
              <c:numCache>
                <c:formatCode>General</c:formatCode>
                <c:ptCount val="4"/>
                <c:pt idx="0">
                  <c:v>2.3759167288505303</c:v>
                </c:pt>
                <c:pt idx="1">
                  <c:v>2.0257270507159575</c:v>
                </c:pt>
                <c:pt idx="2">
                  <c:v>1.7302423931122828</c:v>
                </c:pt>
                <c:pt idx="3">
                  <c:v>2.5255035908840648</c:v>
                </c:pt>
              </c:numCache>
            </c:numRef>
          </c:val>
        </c:ser>
        <c:ser>
          <c:idx val="7"/>
          <c:order val="7"/>
          <c:tx>
            <c:strRef>
              <c:f>属水平相对丰度!$A$57</c:f>
              <c:strCache>
                <c:ptCount val="1"/>
                <c:pt idx="0">
                  <c:v>Gemmatimonas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属水平相对丰度!$B$57:$E$57</c:f>
              <c:numCache>
                <c:formatCode>General</c:formatCode>
                <c:ptCount val="4"/>
                <c:pt idx="0">
                  <c:v>2.3551858619599972</c:v>
                </c:pt>
                <c:pt idx="1">
                  <c:v>1.1424151291406262</c:v>
                </c:pt>
                <c:pt idx="2">
                  <c:v>1.2493612094113997</c:v>
                </c:pt>
                <c:pt idx="3">
                  <c:v>2.6340540076609305</c:v>
                </c:pt>
              </c:numCache>
            </c:numRef>
          </c:val>
        </c:ser>
        <c:ser>
          <c:idx val="8"/>
          <c:order val="8"/>
          <c:tx>
            <c:strRef>
              <c:f>属水平相对丰度!$A$58</c:f>
              <c:strCache>
                <c:ptCount val="1"/>
                <c:pt idx="0">
                  <c:v>Bradyrhizobium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属水平相对丰度!$B$58:$E$58</c:f>
              <c:numCache>
                <c:formatCode>General</c:formatCode>
                <c:ptCount val="4"/>
                <c:pt idx="0">
                  <c:v>2.7496389213709751</c:v>
                </c:pt>
                <c:pt idx="1">
                  <c:v>0.50763003931367023</c:v>
                </c:pt>
                <c:pt idx="2">
                  <c:v>1.3352856797854376</c:v>
                </c:pt>
                <c:pt idx="3">
                  <c:v>0.88208904159715251</c:v>
                </c:pt>
              </c:numCache>
            </c:numRef>
          </c:val>
        </c:ser>
        <c:ser>
          <c:idx val="9"/>
          <c:order val="9"/>
          <c:tx>
            <c:strRef>
              <c:f>属水平相对丰度!$A$59</c:f>
              <c:strCache>
                <c:ptCount val="1"/>
                <c:pt idx="0">
                  <c:v>Subgroup_7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属水平相对丰度!$B$59:$E$59</c:f>
              <c:numCache>
                <c:formatCode>General</c:formatCode>
                <c:ptCount val="4"/>
                <c:pt idx="0">
                  <c:v>1.1265223326494764</c:v>
                </c:pt>
                <c:pt idx="1">
                  <c:v>0.85290059717118805</c:v>
                </c:pt>
                <c:pt idx="2">
                  <c:v>1.6520041667304326</c:v>
                </c:pt>
                <c:pt idx="3">
                  <c:v>1.412847344306932</c:v>
                </c:pt>
              </c:numCache>
            </c:numRef>
          </c:val>
        </c:ser>
        <c:ser>
          <c:idx val="10"/>
          <c:order val="10"/>
          <c:tx>
            <c:strRef>
              <c:f>属水平相对丰度!$A$60</c:f>
              <c:strCache>
                <c:ptCount val="1"/>
                <c:pt idx="0">
                  <c:v>TRA3-20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属水平相对丰度!$B$60:$E$60</c:f>
              <c:numCache>
                <c:formatCode>General</c:formatCode>
                <c:ptCount val="4"/>
                <c:pt idx="0">
                  <c:v>1.3917535568102291</c:v>
                </c:pt>
                <c:pt idx="1">
                  <c:v>0.87541225300776415</c:v>
                </c:pt>
                <c:pt idx="2">
                  <c:v>1.3053518612993025</c:v>
                </c:pt>
                <c:pt idx="3">
                  <c:v>1.2432564765468075</c:v>
                </c:pt>
              </c:numCache>
            </c:numRef>
          </c:val>
        </c:ser>
        <c:ser>
          <c:idx val="11"/>
          <c:order val="11"/>
          <c:tx>
            <c:strRef>
              <c:f>属水平相对丰度!$A$61</c:f>
              <c:strCache>
                <c:ptCount val="1"/>
                <c:pt idx="0">
                  <c:v>Actinoplanes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属水平相对丰度!$B$61:$E$61</c:f>
              <c:numCache>
                <c:formatCode>General</c:formatCode>
                <c:ptCount val="4"/>
                <c:pt idx="0">
                  <c:v>0.98915214093788051</c:v>
                </c:pt>
                <c:pt idx="1">
                  <c:v>1.2430111416287848</c:v>
                </c:pt>
                <c:pt idx="2">
                  <c:v>0.83973187764356827</c:v>
                </c:pt>
                <c:pt idx="3">
                  <c:v>1.5399163186665101</c:v>
                </c:pt>
              </c:numCache>
            </c:numRef>
          </c:val>
        </c:ser>
        <c:ser>
          <c:idx val="12"/>
          <c:order val="12"/>
          <c:tx>
            <c:strRef>
              <c:f>属水平相对丰度!$A$62</c:f>
              <c:strCache>
                <c:ptCount val="1"/>
                <c:pt idx="0">
                  <c:v>Microvirga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属水平相对丰度!$B$49:$E$49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属水平相对丰度!$B$62:$E$62</c:f>
              <c:numCache>
                <c:formatCode>General</c:formatCode>
                <c:ptCount val="4"/>
                <c:pt idx="0">
                  <c:v>0.41033224945704927</c:v>
                </c:pt>
                <c:pt idx="1">
                  <c:v>2.2991762306432948</c:v>
                </c:pt>
                <c:pt idx="2">
                  <c:v>0.66762783737695408</c:v>
                </c:pt>
                <c:pt idx="3">
                  <c:v>0.90801787527814803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3586544"/>
        <c:axId val="693585760"/>
      </c:barChart>
      <c:catAx>
        <c:axId val="693586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Samples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693585760"/>
        <c:crosses val="autoZero"/>
        <c:auto val="1"/>
        <c:lblAlgn val="ctr"/>
        <c:lblOffset val="100"/>
        <c:noMultiLvlLbl val="0"/>
      </c:catAx>
      <c:valAx>
        <c:axId val="693585760"/>
        <c:scaling>
          <c:orientation val="minMax"/>
          <c:max val="100"/>
          <c:min val="6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The</a:t>
                </a:r>
                <a:r>
                  <a:rPr lang="en-US" altLang="zh-CN" baseline="0"/>
                  <a:t> relative abundance of dominant soil bacterial community at the genus level (%)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2.3215322112594312E-2"/>
              <c:y val="4.49369692357642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69358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B</a:t>
            </a:r>
            <a:endParaRPr lang="zh-C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6476399825021873"/>
          <c:y val="6.0683953298941086E-2"/>
          <c:w val="0.80468044619422574"/>
          <c:h val="0.501153136030410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大于百分之1!$A$52</c:f>
              <c:strCache>
                <c:ptCount val="1"/>
                <c:pt idx="0">
                  <c:v>others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大于百分之1!$B$52:$E$52</c:f>
              <c:numCache>
                <c:formatCode>General</c:formatCode>
                <c:ptCount val="4"/>
                <c:pt idx="0">
                  <c:v>48.247855261848123</c:v>
                </c:pt>
                <c:pt idx="1">
                  <c:v>65.370140068937786</c:v>
                </c:pt>
                <c:pt idx="2">
                  <c:v>42.385956757389046</c:v>
                </c:pt>
                <c:pt idx="3">
                  <c:v>37.745656840933918</c:v>
                </c:pt>
              </c:numCache>
            </c:numRef>
          </c:val>
        </c:ser>
        <c:ser>
          <c:idx val="1"/>
          <c:order val="1"/>
          <c:tx>
            <c:strRef>
              <c:f>大于百分之1!$A$53</c:f>
              <c:strCache>
                <c:ptCount val="1"/>
                <c:pt idx="0">
                  <c:v>Knufia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大于百分之1!$B$53:$E$53</c:f>
              <c:numCache>
                <c:formatCode>General</c:formatCode>
                <c:ptCount val="4"/>
                <c:pt idx="0">
                  <c:v>9.8136843925431627</c:v>
                </c:pt>
                <c:pt idx="1">
                  <c:v>16.539489481913101</c:v>
                </c:pt>
                <c:pt idx="2">
                  <c:v>7.8226618208143988</c:v>
                </c:pt>
                <c:pt idx="3">
                  <c:v>20.971407034979574</c:v>
                </c:pt>
              </c:numCache>
            </c:numRef>
          </c:val>
        </c:ser>
        <c:ser>
          <c:idx val="2"/>
          <c:order val="2"/>
          <c:tx>
            <c:strRef>
              <c:f>大于百分之1!$A$54</c:f>
              <c:strCache>
                <c:ptCount val="1"/>
                <c:pt idx="0">
                  <c:v>Penicillium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大于百分之1!$B$54:$E$54</c:f>
              <c:numCache>
                <c:formatCode>General</c:formatCode>
                <c:ptCount val="4"/>
                <c:pt idx="0">
                  <c:v>15.039813011092821</c:v>
                </c:pt>
                <c:pt idx="1">
                  <c:v>0.97176889030307367</c:v>
                </c:pt>
                <c:pt idx="2">
                  <c:v>4.8002643603108828</c:v>
                </c:pt>
                <c:pt idx="3">
                  <c:v>15.984975222271924</c:v>
                </c:pt>
              </c:numCache>
            </c:numRef>
          </c:val>
        </c:ser>
        <c:ser>
          <c:idx val="3"/>
          <c:order val="3"/>
          <c:tx>
            <c:strRef>
              <c:f>大于百分之1!$A$55</c:f>
              <c:strCache>
                <c:ptCount val="1"/>
                <c:pt idx="0">
                  <c:v>Trechispora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大于百分之1!$B$55:$E$55</c:f>
              <c:numCache>
                <c:formatCode>General</c:formatCode>
                <c:ptCount val="4"/>
                <c:pt idx="0">
                  <c:v>7.3111398211281996E-3</c:v>
                </c:pt>
                <c:pt idx="1">
                  <c:v>2.0232526095706277E-2</c:v>
                </c:pt>
                <c:pt idx="2">
                  <c:v>21.879398249620781</c:v>
                </c:pt>
                <c:pt idx="3">
                  <c:v>0.16167686676902057</c:v>
                </c:pt>
              </c:numCache>
            </c:numRef>
          </c:val>
        </c:ser>
        <c:ser>
          <c:idx val="4"/>
          <c:order val="4"/>
          <c:tx>
            <c:strRef>
              <c:f>大于百分之1!$A$56</c:f>
              <c:strCache>
                <c:ptCount val="1"/>
                <c:pt idx="0">
                  <c:v>Solicoccozyma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大于百分之1!$B$56:$E$56</c:f>
              <c:numCache>
                <c:formatCode>General</c:formatCode>
                <c:ptCount val="4"/>
                <c:pt idx="0">
                  <c:v>6.0171256843709173</c:v>
                </c:pt>
                <c:pt idx="1">
                  <c:v>1.8018242701178804</c:v>
                </c:pt>
                <c:pt idx="2">
                  <c:v>4.8287100858008571</c:v>
                </c:pt>
                <c:pt idx="3">
                  <c:v>1.4608787831507524</c:v>
                </c:pt>
              </c:numCache>
            </c:numRef>
          </c:val>
        </c:ser>
        <c:ser>
          <c:idx val="5"/>
          <c:order val="5"/>
          <c:tx>
            <c:strRef>
              <c:f>大于百分之1!$A$57</c:f>
              <c:strCache>
                <c:ptCount val="1"/>
                <c:pt idx="0">
                  <c:v>Tomentella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大于百分之1!$B$57:$E$57</c:f>
              <c:numCache>
                <c:formatCode>General</c:formatCode>
                <c:ptCount val="4"/>
                <c:pt idx="0">
                  <c:v>2.1091401362496347</c:v>
                </c:pt>
                <c:pt idx="1">
                  <c:v>0.20049544062136129</c:v>
                </c:pt>
                <c:pt idx="2">
                  <c:v>5.1319502366676506</c:v>
                </c:pt>
                <c:pt idx="3">
                  <c:v>6.1330120842847782</c:v>
                </c:pt>
              </c:numCache>
            </c:numRef>
          </c:val>
        </c:ser>
        <c:ser>
          <c:idx val="6"/>
          <c:order val="6"/>
          <c:tx>
            <c:strRef>
              <c:f>大于百分之1!$A$58</c:f>
              <c:strCache>
                <c:ptCount val="1"/>
                <c:pt idx="0">
                  <c:v>Gibberella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大于百分之1!$B$58:$E$58</c:f>
              <c:numCache>
                <c:formatCode>General</c:formatCode>
                <c:ptCount val="4"/>
                <c:pt idx="0">
                  <c:v>0.53571040371918799</c:v>
                </c:pt>
                <c:pt idx="1">
                  <c:v>3.9821327124856003</c:v>
                </c:pt>
                <c:pt idx="2">
                  <c:v>3.5947570300012002</c:v>
                </c:pt>
                <c:pt idx="3">
                  <c:v>1.5429857989658224</c:v>
                </c:pt>
              </c:numCache>
            </c:numRef>
          </c:val>
        </c:ser>
        <c:ser>
          <c:idx val="7"/>
          <c:order val="7"/>
          <c:tx>
            <c:strRef>
              <c:f>大于百分之1!$A$59</c:f>
              <c:strCache>
                <c:ptCount val="1"/>
                <c:pt idx="0">
                  <c:v>Talaromyces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大于百分之1!$B$59:$E$59</c:f>
              <c:numCache>
                <c:formatCode>General</c:formatCode>
                <c:ptCount val="4"/>
                <c:pt idx="0">
                  <c:v>4.5425867495213055</c:v>
                </c:pt>
                <c:pt idx="1">
                  <c:v>0.24033686674652024</c:v>
                </c:pt>
                <c:pt idx="2">
                  <c:v>1.073229512539482</c:v>
                </c:pt>
                <c:pt idx="3">
                  <c:v>3.5830236556372901</c:v>
                </c:pt>
              </c:numCache>
            </c:numRef>
          </c:val>
        </c:ser>
        <c:ser>
          <c:idx val="8"/>
          <c:order val="8"/>
          <c:tx>
            <c:strRef>
              <c:f>大于百分之1!$A$60</c:f>
              <c:strCache>
                <c:ptCount val="1"/>
                <c:pt idx="0">
                  <c:v>Didymella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大于百分之1!$B$60:$E$60</c:f>
              <c:numCache>
                <c:formatCode>General</c:formatCode>
                <c:ptCount val="4"/>
                <c:pt idx="0">
                  <c:v>0.13138330821368929</c:v>
                </c:pt>
                <c:pt idx="1">
                  <c:v>5.4924648831730405</c:v>
                </c:pt>
                <c:pt idx="2">
                  <c:v>2.1203812011435046</c:v>
                </c:pt>
                <c:pt idx="3">
                  <c:v>1.4246950719105902</c:v>
                </c:pt>
              </c:numCache>
            </c:numRef>
          </c:val>
        </c:ser>
        <c:ser>
          <c:idx val="9"/>
          <c:order val="9"/>
          <c:tx>
            <c:strRef>
              <c:f>大于百分之1!$A$61</c:f>
              <c:strCache>
                <c:ptCount val="1"/>
                <c:pt idx="0">
                  <c:v>Mortierella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大于百分之1!$B$61:$E$61</c:f>
              <c:numCache>
                <c:formatCode>General</c:formatCode>
                <c:ptCount val="4"/>
                <c:pt idx="0">
                  <c:v>0.86884424633107393</c:v>
                </c:pt>
                <c:pt idx="1">
                  <c:v>2.8882961439913375</c:v>
                </c:pt>
                <c:pt idx="2">
                  <c:v>2.5686943387940673</c:v>
                </c:pt>
                <c:pt idx="3">
                  <c:v>2.4848523021466473</c:v>
                </c:pt>
              </c:numCache>
            </c:numRef>
          </c:val>
        </c:ser>
        <c:ser>
          <c:idx val="10"/>
          <c:order val="10"/>
          <c:tx>
            <c:strRef>
              <c:f>大于百分之1!$A$62</c:f>
              <c:strCache>
                <c:ptCount val="1"/>
                <c:pt idx="0">
                  <c:v>Cladophialophora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大于百分之1!$B$62:$E$62</c:f>
              <c:numCache>
                <c:formatCode>General</c:formatCode>
                <c:ptCount val="4"/>
                <c:pt idx="0">
                  <c:v>4.0498848343323655</c:v>
                </c:pt>
                <c:pt idx="1">
                  <c:v>0.607188321365425</c:v>
                </c:pt>
                <c:pt idx="2">
                  <c:v>0.46290961813864001</c:v>
                </c:pt>
                <c:pt idx="3">
                  <c:v>3.0270960139380128</c:v>
                </c:pt>
              </c:numCache>
            </c:numRef>
          </c:val>
        </c:ser>
        <c:ser>
          <c:idx val="11"/>
          <c:order val="11"/>
          <c:tx>
            <c:strRef>
              <c:f>大于百分之1!$A$63</c:f>
              <c:strCache>
                <c:ptCount val="1"/>
                <c:pt idx="0">
                  <c:v>Geminibasidium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大于百分之1!$B$63:$E$63</c:f>
              <c:numCache>
                <c:formatCode>General</c:formatCode>
                <c:ptCount val="4"/>
                <c:pt idx="0">
                  <c:v>1.4980231267269624</c:v>
                </c:pt>
                <c:pt idx="1">
                  <c:v>0.26923360774612243</c:v>
                </c:pt>
                <c:pt idx="2">
                  <c:v>8.9325249511961163E-2</c:v>
                </c:pt>
                <c:pt idx="3">
                  <c:v>4.0579441479249834</c:v>
                </c:pt>
              </c:numCache>
            </c:numRef>
          </c:val>
        </c:ser>
        <c:ser>
          <c:idx val="12"/>
          <c:order val="12"/>
          <c:tx>
            <c:strRef>
              <c:f>大于百分之1!$A$64</c:f>
              <c:strCache>
                <c:ptCount val="1"/>
                <c:pt idx="0">
                  <c:v>Fusarium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大于百分之1!$B$64:$E$64</c:f>
              <c:numCache>
                <c:formatCode>General</c:formatCode>
                <c:ptCount val="4"/>
                <c:pt idx="0">
                  <c:v>4.7046165552807301E-2</c:v>
                </c:pt>
                <c:pt idx="1">
                  <c:v>1.29154325132531</c:v>
                </c:pt>
                <c:pt idx="2">
                  <c:v>2.7380667177974596</c:v>
                </c:pt>
                <c:pt idx="3">
                  <c:v>0.91672189695134598</c:v>
                </c:pt>
              </c:numCache>
            </c:numRef>
          </c:val>
        </c:ser>
        <c:ser>
          <c:idx val="13"/>
          <c:order val="13"/>
          <c:tx>
            <c:strRef>
              <c:f>大于百分之1!$A$65</c:f>
              <c:strCache>
                <c:ptCount val="1"/>
                <c:pt idx="0">
                  <c:v>Sebacina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大于百分之1!$B$65:$E$65</c:f>
              <c:numCache>
                <c:formatCode>General</c:formatCode>
                <c:ptCount val="4"/>
                <c:pt idx="0">
                  <c:v>4.250389767030069</c:v>
                </c:pt>
                <c:pt idx="1">
                  <c:v>5.2353751960486972E-2</c:v>
                </c:pt>
                <c:pt idx="2">
                  <c:v>5.7495480191094425E-3</c:v>
                </c:pt>
                <c:pt idx="3">
                  <c:v>3.1325098118856462E-2</c:v>
                </c:pt>
              </c:numCache>
            </c:numRef>
          </c:val>
        </c:ser>
        <c:ser>
          <c:idx val="14"/>
          <c:order val="14"/>
          <c:tx>
            <c:strRef>
              <c:f>大于百分之1!$A$66</c:f>
              <c:strCache>
                <c:ptCount val="1"/>
                <c:pt idx="0">
                  <c:v>Exophiala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大于百分之1!$B$51:$E$51</c:f>
              <c:strCache>
                <c:ptCount val="4"/>
                <c:pt idx="0">
                  <c:v>PT</c:v>
                </c:pt>
                <c:pt idx="1">
                  <c:v>PTAU</c:v>
                </c:pt>
                <c:pt idx="2">
                  <c:v>PTRP</c:v>
                </c:pt>
                <c:pt idx="3">
                  <c:v>PTVN</c:v>
                </c:pt>
              </c:strCache>
            </c:strRef>
          </c:cat>
          <c:val>
            <c:numRef>
              <c:f>大于百分之1!$B$66:$E$66</c:f>
              <c:numCache>
                <c:formatCode>General</c:formatCode>
                <c:ptCount val="4"/>
                <c:pt idx="0">
                  <c:v>2.84120177264675</c:v>
                </c:pt>
                <c:pt idx="1">
                  <c:v>0.27249978321724777</c:v>
                </c:pt>
                <c:pt idx="2">
                  <c:v>0.49794527345096495</c:v>
                </c:pt>
                <c:pt idx="3">
                  <c:v>0.47374918201647276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0223048"/>
        <c:axId val="692803232"/>
      </c:barChart>
      <c:catAx>
        <c:axId val="690223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Samples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692803232"/>
        <c:crosses val="autoZero"/>
        <c:auto val="1"/>
        <c:lblAlgn val="ctr"/>
        <c:lblOffset val="100"/>
        <c:noMultiLvlLbl val="0"/>
      </c:catAx>
      <c:valAx>
        <c:axId val="692803232"/>
        <c:scaling>
          <c:orientation val="minMax"/>
          <c:max val="100"/>
          <c:min val="3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The</a:t>
                </a:r>
                <a:r>
                  <a:rPr lang="en-US" altLang="zh-CN" baseline="0"/>
                  <a:t> relative abundance of soil dominant fungal community at the genus level (%)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69022304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910979877515314E-2"/>
          <c:y val="0.6819242465381482"/>
          <c:w val="0.84786576266632119"/>
          <c:h val="0.294383654629378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Jiaojiao Deng</dc:creator>
  <cp:keywords/>
  <dc:description/>
  <cp:lastModifiedBy>zhuwenxu</cp:lastModifiedBy>
  <cp:revision>11</cp:revision>
  <dcterms:created xsi:type="dcterms:W3CDTF">2021-04-08T07:08:00Z</dcterms:created>
  <dcterms:modified xsi:type="dcterms:W3CDTF">2021-04-12T14:53:00Z</dcterms:modified>
</cp:coreProperties>
</file>