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AFFD" w14:textId="2A137653" w:rsidR="00796D5D" w:rsidRPr="0024220F" w:rsidRDefault="00796D5D" w:rsidP="00796D5D">
      <w:pPr>
        <w:rPr>
          <w:rFonts w:ascii="Times" w:hAnsi="Times"/>
          <w:lang w:val="en-US"/>
        </w:rPr>
      </w:pPr>
      <w:r w:rsidRPr="0024220F">
        <w:rPr>
          <w:rFonts w:ascii="Times" w:hAnsi="Times"/>
          <w:b/>
          <w:bCs/>
          <w:lang w:val="en-US"/>
        </w:rPr>
        <w:t>Supplemental table 2</w:t>
      </w:r>
      <w:r w:rsidRPr="0024220F">
        <w:rPr>
          <w:rFonts w:ascii="Times" w:hAnsi="Times"/>
          <w:lang w:val="en-US"/>
        </w:rPr>
        <w:t xml:space="preserve">. </w:t>
      </w:r>
      <w:r w:rsidRPr="0024220F">
        <w:rPr>
          <w:rFonts w:cs="Calibri"/>
          <w:lang w:val="en-US"/>
        </w:rPr>
        <w:t>﻿</w:t>
      </w:r>
      <w:r w:rsidRPr="0024220F">
        <w:rPr>
          <w:rFonts w:ascii="Times" w:hAnsi="Times"/>
          <w:lang w:val="en-US"/>
        </w:rPr>
        <w:t xml:space="preserve">Associations between </w:t>
      </w:r>
      <w:r w:rsidRPr="0024220F">
        <w:rPr>
          <w:rFonts w:ascii="Times" w:hAnsi="Times"/>
          <w:i/>
          <w:iCs/>
          <w:lang w:val="en-US"/>
        </w:rPr>
        <w:t>Mycobacterium tuberculosis</w:t>
      </w:r>
      <w:r w:rsidRPr="0024220F">
        <w:rPr>
          <w:rFonts w:ascii="Times" w:hAnsi="Times"/>
          <w:lang w:val="en-US"/>
        </w:rPr>
        <w:t xml:space="preserve"> lineage, </w:t>
      </w:r>
      <w:proofErr w:type="spellStart"/>
      <w:r w:rsidRPr="0024220F">
        <w:rPr>
          <w:rFonts w:ascii="Times" w:hAnsi="Times"/>
          <w:lang w:val="en-US"/>
        </w:rPr>
        <w:t>sublineage</w:t>
      </w:r>
      <w:proofErr w:type="spellEnd"/>
      <w:r w:rsidR="0024220F" w:rsidRPr="0024220F">
        <w:rPr>
          <w:rFonts w:ascii="Times" w:hAnsi="Times"/>
          <w:lang w:val="en-US"/>
        </w:rPr>
        <w:t xml:space="preserve"> </w:t>
      </w:r>
      <w:proofErr w:type="spellStart"/>
      <w:r w:rsidR="0024220F" w:rsidRPr="0024220F">
        <w:rPr>
          <w:rFonts w:ascii="Times" w:hAnsi="Times"/>
          <w:lang w:val="en-US"/>
        </w:rPr>
        <w:t xml:space="preserve">and </w:t>
      </w:r>
      <w:proofErr w:type="spellEnd"/>
      <w:r w:rsidRPr="0024220F">
        <w:rPr>
          <w:rFonts w:ascii="Times" w:hAnsi="Times"/>
          <w:lang w:val="en-US"/>
        </w:rPr>
        <w:t xml:space="preserve">genotypic resistance with </w:t>
      </w:r>
      <w:r w:rsidR="0024220F" w:rsidRPr="0024220F">
        <w:rPr>
          <w:rFonts w:ascii="Times" w:hAnsi="Times"/>
          <w:lang w:val="en-US"/>
        </w:rPr>
        <w:t xml:space="preserve">clinical </w:t>
      </w:r>
      <w:r w:rsidRPr="0024220F">
        <w:rPr>
          <w:rFonts w:ascii="Times" w:hAnsi="Times"/>
          <w:lang w:val="en-US"/>
        </w:rPr>
        <w:t>phenotypes.</w:t>
      </w:r>
    </w:p>
    <w:p w14:paraId="550B3987" w14:textId="77777777" w:rsidR="00796D5D" w:rsidRPr="0004173D" w:rsidRDefault="00796D5D" w:rsidP="00796D5D">
      <w:pPr>
        <w:rPr>
          <w:rFonts w:ascii="Times" w:hAnsi="Times"/>
          <w:sz w:val="18"/>
          <w:szCs w:val="18"/>
          <w:lang w:val="en-US"/>
        </w:rPr>
      </w:pPr>
    </w:p>
    <w:p w14:paraId="2AAAC7DC" w14:textId="77777777" w:rsidR="00796D5D" w:rsidRPr="002D202A" w:rsidRDefault="00796D5D" w:rsidP="00796D5D">
      <w:pPr>
        <w:rPr>
          <w:rFonts w:ascii="Times" w:hAnsi="Times"/>
        </w:rPr>
      </w:pPr>
      <w:r w:rsidRPr="0004173D">
        <w:rPr>
          <w:rFonts w:cs="Calibri"/>
          <w:sz w:val="18"/>
          <w:szCs w:val="18"/>
        </w:rPr>
        <w:t>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340"/>
        <w:gridCol w:w="851"/>
        <w:gridCol w:w="992"/>
        <w:gridCol w:w="1134"/>
        <w:gridCol w:w="1559"/>
        <w:gridCol w:w="1418"/>
      </w:tblGrid>
      <w:tr w:rsidR="00796D5D" w:rsidRPr="00200733" w14:paraId="2B172220" w14:textId="77777777" w:rsidTr="00F57BFA">
        <w:trPr>
          <w:trHeight w:val="42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4C2184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5529BE45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</w:p>
          <w:p w14:paraId="3D7547B1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Variable</w:t>
            </w:r>
          </w:p>
          <w:p w14:paraId="574C16F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1A988B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205ABB8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No. strains for: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3D9ECC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6A5CB4D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01920781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  <w:vertAlign w:val="superscript"/>
              </w:rPr>
            </w:pPr>
            <w:r w:rsidRPr="00200733">
              <w:rPr>
                <w:rFonts w:ascii="Times" w:hAnsi="Times"/>
                <w:i/>
                <w:iCs/>
                <w:sz w:val="16"/>
                <w:szCs w:val="16"/>
              </w:rPr>
              <w:t>P value</w:t>
            </w:r>
            <w:r w:rsidRPr="00200733">
              <w:rPr>
                <w:rFonts w:ascii="Times" w:hAnsi="Times"/>
                <w:i/>
                <w:i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A36953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7B071F0B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5B3ED9E9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  <w:vertAlign w:val="superscript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OR</w:t>
            </w:r>
            <w:r w:rsidRPr="00200733">
              <w:rPr>
                <w:rFonts w:ascii="Times" w:hAnsi="Times"/>
                <w:sz w:val="16"/>
                <w:szCs w:val="16"/>
                <w:vertAlign w:val="superscript"/>
              </w:rPr>
              <w:t>a</w:t>
            </w:r>
          </w:p>
          <w:p w14:paraId="153AB5A9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(95% CI)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7CB19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</w:tr>
      <w:tr w:rsidR="00796D5D" w:rsidRPr="00200733" w14:paraId="4664E591" w14:textId="77777777" w:rsidTr="00F57BFA">
        <w:trPr>
          <w:trHeight w:val="488"/>
        </w:trPr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4E74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8D3A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  <w:vertAlign w:val="superscript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EPTB</w:t>
            </w:r>
          </w:p>
          <w:p w14:paraId="31CD61A0" w14:textId="77777777" w:rsidR="00796D5D" w:rsidRPr="00200733" w:rsidRDefault="00796D5D" w:rsidP="00F57BFA">
            <w:pPr>
              <w:jc w:val="center"/>
              <w:rPr>
                <w:rFonts w:ascii="Times" w:hAnsi="Times"/>
                <w:i/>
                <w:iCs/>
                <w:sz w:val="16"/>
                <w:szCs w:val="16"/>
              </w:rPr>
            </w:pPr>
            <w:r w:rsidRPr="00200733">
              <w:rPr>
                <w:rFonts w:ascii="Times" w:hAnsi="Times"/>
                <w:i/>
                <w:iCs/>
                <w:sz w:val="16"/>
                <w:szCs w:val="16"/>
              </w:rPr>
              <w:t>(n=245)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6FF6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  <w:vertAlign w:val="superscript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PTB</w:t>
            </w:r>
          </w:p>
          <w:p w14:paraId="062203AB" w14:textId="77777777" w:rsidR="00796D5D" w:rsidRPr="00200733" w:rsidRDefault="00796D5D" w:rsidP="00F57BFA">
            <w:pPr>
              <w:jc w:val="center"/>
              <w:rPr>
                <w:rFonts w:ascii="Times" w:hAnsi="Times"/>
                <w:i/>
                <w:iCs/>
                <w:sz w:val="16"/>
                <w:szCs w:val="16"/>
              </w:rPr>
            </w:pPr>
            <w:r w:rsidRPr="00200733">
              <w:rPr>
                <w:rFonts w:ascii="Times" w:hAnsi="Times"/>
                <w:i/>
                <w:iCs/>
                <w:sz w:val="16"/>
                <w:szCs w:val="16"/>
              </w:rPr>
              <w:t>(n=245)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36F6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538FA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7AD0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  <w:vertAlign w:val="superscript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Adjusted OR</w:t>
            </w:r>
            <w:r w:rsidRPr="00200733">
              <w:rPr>
                <w:rFonts w:ascii="Times" w:hAnsi="Times"/>
                <w:sz w:val="16"/>
                <w:szCs w:val="16"/>
                <w:vertAlign w:val="superscript"/>
              </w:rPr>
              <w:t>b</w:t>
            </w:r>
          </w:p>
        </w:tc>
      </w:tr>
      <w:tr w:rsidR="00796D5D" w:rsidRPr="00200733" w14:paraId="4DAF5AC5" w14:textId="77777777" w:rsidTr="00F57BFA">
        <w:trPr>
          <w:trHeight w:val="162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C7BC3A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Lineage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CBAAA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Lineage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1CB1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85E0A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C59B6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A57D0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4.8(2.2-10.1)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77EFD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4.4(1.9-10.0)</w:t>
            </w:r>
          </w:p>
        </w:tc>
      </w:tr>
      <w:tr w:rsidR="00796D5D" w:rsidRPr="00200733" w14:paraId="5DE39302" w14:textId="77777777" w:rsidTr="00F57BFA">
        <w:trPr>
          <w:trHeight w:val="118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A0D82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51B2D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Lineage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07D3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881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19D6B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0DB26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1.5(1.1-2-2)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74335F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1.4 (1.1-1.9)</w:t>
            </w:r>
          </w:p>
        </w:tc>
      </w:tr>
      <w:tr w:rsidR="00796D5D" w:rsidRPr="00200733" w14:paraId="47910CD5" w14:textId="77777777" w:rsidTr="00F57BFA">
        <w:trPr>
          <w:trHeight w:val="15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BA936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775A0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Lineage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8627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C22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51221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0.122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540E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1.7(1.3-2.4)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587BC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1.2 (0.7-1.8)</w:t>
            </w:r>
          </w:p>
        </w:tc>
      </w:tr>
      <w:tr w:rsidR="00796D5D" w:rsidRPr="00200733" w14:paraId="051AD3AB" w14:textId="77777777" w:rsidTr="00F57BFA">
        <w:trPr>
          <w:trHeight w:val="138"/>
        </w:trPr>
        <w:tc>
          <w:tcPr>
            <w:tcW w:w="9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62052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2B491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Lineage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6032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3DF4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8DCF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0.448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2B2F8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0.8(0.8-1.1)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8C50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Reference</w:t>
            </w:r>
          </w:p>
        </w:tc>
      </w:tr>
      <w:tr w:rsidR="00796D5D" w:rsidRPr="00200733" w14:paraId="3F382CCD" w14:textId="77777777" w:rsidTr="00F57BFA">
        <w:trPr>
          <w:trHeight w:val="87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36F6D9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Sublineage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A8D7B8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689578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3AFE7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406428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4F3F5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D497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3F80FB34" w14:textId="77777777" w:rsidTr="00F57BFA">
        <w:trPr>
          <w:trHeight w:val="20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B94E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C595A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CC01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1150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B67B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874D5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2.8(1.0-7.7)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D6FBA6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2.9(1.0-7.9)</w:t>
            </w:r>
          </w:p>
        </w:tc>
      </w:tr>
      <w:tr w:rsidR="00796D5D" w:rsidRPr="00200733" w14:paraId="1B25F1F9" w14:textId="77777777" w:rsidTr="00F57BFA">
        <w:trPr>
          <w:trHeight w:val="125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C2F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09B93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1.1.1.1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D323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B48D5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F4B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9C21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B782EA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36C1E7FC" w14:textId="77777777" w:rsidTr="00F57BFA">
        <w:trPr>
          <w:trHeight w:val="138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0A25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FDFFF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0FE4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F588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0F9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2DBA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D0D68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1C10CBBC" w14:textId="77777777" w:rsidTr="00F57BFA">
        <w:trPr>
          <w:trHeight w:val="138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D6F3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3B16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7BE58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DF97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8B069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485FC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6.7(2.0-22.1)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54E637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7.2(1.6-31.7)</w:t>
            </w:r>
          </w:p>
        </w:tc>
      </w:tr>
      <w:tr w:rsidR="00796D5D" w:rsidRPr="00200733" w14:paraId="6C9A7222" w14:textId="77777777" w:rsidTr="00F57BFA">
        <w:trPr>
          <w:trHeight w:val="163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4B98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E156E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90F4D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CDE0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DAEE5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B5B9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546B05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5DF02819" w14:textId="77777777" w:rsidTr="00F57BFA">
        <w:trPr>
          <w:trHeight w:val="163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81F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B545D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Asia Ancestral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0752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C809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DE5A3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F94AC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2.4(1.2-4.8)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D7915A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2.3(1.2-5.0)</w:t>
            </w:r>
          </w:p>
        </w:tc>
      </w:tr>
      <w:tr w:rsidR="00796D5D" w:rsidRPr="00200733" w14:paraId="12BF4FDA" w14:textId="77777777" w:rsidTr="00F57BFA">
        <w:trPr>
          <w:trHeight w:val="138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F316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732F4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Asian African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AA21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A2CD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6388C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43EE8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2.3(1.1-5.2)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2E2145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2.7(2.2-7.8)</w:t>
            </w:r>
          </w:p>
        </w:tc>
      </w:tr>
      <w:tr w:rsidR="00796D5D" w:rsidRPr="00200733" w14:paraId="310D05C0" w14:textId="77777777" w:rsidTr="00F57BFA">
        <w:trPr>
          <w:trHeight w:val="75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7145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54081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Asian African 2 RD142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84CFD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E3B4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4396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09D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86879A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0B65F53B" w14:textId="77777777" w:rsidTr="00F57BFA">
        <w:trPr>
          <w:trHeight w:val="15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25251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CD6C6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Asian African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8529B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5D4B5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DF9C5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0.060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3E87D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cs="Calibri"/>
                <w:sz w:val="16"/>
                <w:szCs w:val="16"/>
              </w:rPr>
              <w:t>﻿</w:t>
            </w:r>
            <w:r w:rsidRPr="00200733">
              <w:rPr>
                <w:rFonts w:ascii="Times" w:hAnsi="Times"/>
                <w:sz w:val="16"/>
                <w:szCs w:val="16"/>
              </w:rPr>
              <w:t>0.83 (0.41–1.69)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2AC8CB" w14:textId="77777777" w:rsidR="00796D5D" w:rsidRPr="00200733" w:rsidRDefault="00796D5D" w:rsidP="00F57BFA">
            <w:pPr>
              <w:jc w:val="center"/>
              <w:rPr>
                <w:rFonts w:ascii="Times" w:hAnsi="Times" w:cs="Calibri"/>
                <w:sz w:val="16"/>
                <w:szCs w:val="16"/>
              </w:rPr>
            </w:pPr>
            <w:r w:rsidRPr="00200733">
              <w:rPr>
                <w:rFonts w:ascii="Times" w:hAnsi="Times" w:cs="Calibri"/>
                <w:sz w:val="16"/>
                <w:szCs w:val="16"/>
              </w:rPr>
              <w:t>NA</w:t>
            </w:r>
          </w:p>
        </w:tc>
      </w:tr>
      <w:tr w:rsidR="00796D5D" w:rsidRPr="00200733" w14:paraId="11C54F24" w14:textId="77777777" w:rsidTr="00F57BFA">
        <w:trPr>
          <w:trHeight w:val="15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D97F9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C067F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Pacific RD150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043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86FC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5B955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3ABA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DCDADD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4A085F99" w14:textId="77777777" w:rsidTr="00F57BFA">
        <w:trPr>
          <w:trHeight w:val="15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9DF7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F75DC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Central Asia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93C48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7B5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967C8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F3494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8.1(2.9-22.9)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70F233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9.4(2.9-28.4)</w:t>
            </w:r>
          </w:p>
        </w:tc>
      </w:tr>
      <w:tr w:rsidR="00796D5D" w:rsidRPr="00200733" w14:paraId="00CA5C5A" w14:textId="77777777" w:rsidTr="00F57BFA">
        <w:trPr>
          <w:trHeight w:val="15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85EF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F7F78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Europe/Russia B0/W148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A0DB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E75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3E7D8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23166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2.7(1.3-5.4)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FDC70E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3.1(1.7-6.0)</w:t>
            </w:r>
          </w:p>
        </w:tc>
      </w:tr>
      <w:tr w:rsidR="00796D5D" w:rsidRPr="00200733" w14:paraId="4E69E46D" w14:textId="77777777" w:rsidTr="00F57BFA">
        <w:trPr>
          <w:trHeight w:val="15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58A5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8F46F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Unclassified modern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640F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C45D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4DBD6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4F1F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2.3(1.3-4)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2242CF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3.0(1.7-5.9)</w:t>
            </w:r>
          </w:p>
        </w:tc>
      </w:tr>
      <w:tr w:rsidR="00796D5D" w:rsidRPr="00200733" w14:paraId="2F5F24FC" w14:textId="77777777" w:rsidTr="00F57BFA">
        <w:trPr>
          <w:trHeight w:val="10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D12A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1371C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BE79D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165F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0F50B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0.122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571B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1.7(1.3-2.4)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E7BD8A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46224C47" w14:textId="77777777" w:rsidTr="00F57BFA">
        <w:trPr>
          <w:trHeight w:val="10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AA6D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EA6DF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4.1.1.3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9819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BBDD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DC06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A580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30CC8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3CD67962" w14:textId="77777777" w:rsidTr="00F57BFA">
        <w:trPr>
          <w:trHeight w:val="20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50A59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AC7E9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3E56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3626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2CAA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65711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17098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00A4F925" w14:textId="77777777" w:rsidTr="00F57BFA">
        <w:trPr>
          <w:trHeight w:val="125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B748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317CB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4.1.2.1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4A70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8A11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D31D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4E9DB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6.3(1.9-21.1)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6C6D2B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5.1(1.5-17.8)</w:t>
            </w:r>
          </w:p>
        </w:tc>
      </w:tr>
      <w:tr w:rsidR="00796D5D" w:rsidRPr="00200733" w14:paraId="2514296A" w14:textId="77777777" w:rsidTr="00F57BFA">
        <w:trPr>
          <w:trHeight w:val="15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6B0D8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B3559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A655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E4B1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389B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6518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015B3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2ADA662F" w14:textId="77777777" w:rsidTr="00F57BFA">
        <w:trPr>
          <w:trHeight w:val="163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58D58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2789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57FF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A443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737D5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5E86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90B0C5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391BA793" w14:textId="77777777" w:rsidTr="00F57BFA">
        <w:trPr>
          <w:trHeight w:val="188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EF32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26C4A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14645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1BAC8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74BEB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8583B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2.9(1.2-7.7)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3D8B74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2.6(1.1-6.4)</w:t>
            </w:r>
          </w:p>
        </w:tc>
      </w:tr>
      <w:tr w:rsidR="00796D5D" w:rsidRPr="00200733" w14:paraId="15F303D4" w14:textId="77777777" w:rsidTr="00F57BFA">
        <w:trPr>
          <w:trHeight w:val="25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88259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D8943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D62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ECDDD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C664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BDD0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1C04DA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1D5B3DF9" w14:textId="77777777" w:rsidTr="00F57BFA">
        <w:trPr>
          <w:trHeight w:val="175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68D5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84A31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4.3.3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33DFA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D632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2C0DD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DC05F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1.8(1.4-2.2)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09A712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1.7(1.6-2.4)</w:t>
            </w:r>
          </w:p>
        </w:tc>
      </w:tr>
      <w:tr w:rsidR="00796D5D" w:rsidRPr="00200733" w14:paraId="3E16BED7" w14:textId="77777777" w:rsidTr="00F57BFA">
        <w:trPr>
          <w:trHeight w:val="175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54A8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90B69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4.3.4.2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7AA5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E945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E75A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42E2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AC827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35A95D52" w14:textId="77777777" w:rsidTr="00F57BFA">
        <w:trPr>
          <w:trHeight w:val="117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4183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2F011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4.4.1.1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0AB71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E043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4769D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74D9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A74FB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104AD9EB" w14:textId="77777777" w:rsidTr="00F57BFA">
        <w:trPr>
          <w:trHeight w:val="163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DDDB8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FA7E6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4.4.1.2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8E40B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4A6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FDAB5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63FA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55953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17E081B3" w14:textId="77777777" w:rsidTr="00F57BFA">
        <w:trPr>
          <w:trHeight w:val="13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6CBEA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84B0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3FBA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9F37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EB04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D00D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35ED6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0D14FFD8" w14:textId="77777777" w:rsidTr="00F57BFA">
        <w:trPr>
          <w:trHeight w:val="20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C733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DC261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6C73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4BFB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B1D80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7B1C8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3.8(1.0-13.8)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3C3047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4.8(1.4-16.7)</w:t>
            </w:r>
          </w:p>
        </w:tc>
      </w:tr>
      <w:tr w:rsidR="00796D5D" w:rsidRPr="00200733" w14:paraId="2C35082E" w14:textId="77777777" w:rsidTr="00F57BFA">
        <w:trPr>
          <w:trHeight w:val="118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7B218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83E80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910A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2EC9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6E3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E4299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DDCE0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7C66802B" w14:textId="77777777" w:rsidTr="00F57BFA">
        <w:trPr>
          <w:trHeight w:val="118"/>
        </w:trPr>
        <w:tc>
          <w:tcPr>
            <w:tcW w:w="9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7A44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704C6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3F01DD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73E4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CC5B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0.325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ADA6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0.6(0.6-1-2)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A374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Reference</w:t>
            </w:r>
          </w:p>
        </w:tc>
      </w:tr>
      <w:tr w:rsidR="00796D5D" w:rsidRPr="00200733" w14:paraId="5CF37F4C" w14:textId="77777777" w:rsidTr="00F57BFA">
        <w:trPr>
          <w:trHeight w:val="150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FDD5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Genotypic resistance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EC40C8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Sensitive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7E062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BE302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A0DED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051B0F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1.7(1.3-2-3)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BDFB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Reference</w:t>
            </w:r>
          </w:p>
        </w:tc>
      </w:tr>
      <w:tr w:rsidR="00796D5D" w:rsidRPr="00200733" w14:paraId="2F7B7EEB" w14:textId="77777777" w:rsidTr="00F57BFA">
        <w:trPr>
          <w:trHeight w:val="163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7697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4DDEF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Drug resistant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2D10D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A8E2E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D45DD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0.324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E2740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1.3(0.7-2.3)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346E63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50FBF9E8" w14:textId="77777777" w:rsidTr="00F57BFA">
        <w:trPr>
          <w:trHeight w:val="130"/>
        </w:trPr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C4A1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4245D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MDR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3CF62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7ED5F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A1846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0.657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20934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1.1(0.7-1.6)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77C637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NA</w:t>
            </w:r>
          </w:p>
        </w:tc>
      </w:tr>
      <w:tr w:rsidR="00796D5D" w:rsidRPr="00200733" w14:paraId="6B3040D2" w14:textId="77777777" w:rsidTr="00F57BFA">
        <w:trPr>
          <w:trHeight w:val="150"/>
        </w:trPr>
        <w:tc>
          <w:tcPr>
            <w:tcW w:w="9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F0F85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36423" w14:textId="77777777" w:rsidR="00796D5D" w:rsidRPr="00200733" w:rsidRDefault="00796D5D" w:rsidP="00F57BFA">
            <w:pPr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XDR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5989C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C894A" w14:textId="77777777" w:rsidR="00796D5D" w:rsidRPr="00200733" w:rsidRDefault="00796D5D" w:rsidP="00F57BFA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200733">
              <w:rPr>
                <w:rFonts w:ascii="Times" w:hAnsi="Times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BB5F3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FEB7E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6.0(2.5-14.4)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A0DCD" w14:textId="77777777" w:rsidR="00796D5D" w:rsidRPr="00200733" w:rsidRDefault="00796D5D" w:rsidP="00F57BFA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00733">
              <w:rPr>
                <w:rFonts w:ascii="Times" w:hAnsi="Times"/>
                <w:b/>
                <w:bCs/>
                <w:sz w:val="16"/>
                <w:szCs w:val="16"/>
              </w:rPr>
              <w:t>6.0(2.3-14.4)</w:t>
            </w:r>
          </w:p>
        </w:tc>
      </w:tr>
    </w:tbl>
    <w:p w14:paraId="35339FD7" w14:textId="77777777" w:rsidR="00796D5D" w:rsidRPr="00DF2143" w:rsidRDefault="00796D5D" w:rsidP="00796D5D">
      <w:pPr>
        <w:rPr>
          <w:rFonts w:ascii="Times" w:hAnsi="Times"/>
          <w:sz w:val="18"/>
          <w:szCs w:val="18"/>
          <w:lang w:val="en-US"/>
        </w:rPr>
      </w:pPr>
      <w:r w:rsidRPr="00DF2143">
        <w:rPr>
          <w:rFonts w:cs="Calibri"/>
          <w:sz w:val="18"/>
          <w:szCs w:val="18"/>
        </w:rPr>
        <w:t>﻿</w:t>
      </w:r>
      <w:r w:rsidRPr="00DF2143">
        <w:rPr>
          <w:rFonts w:ascii="Times" w:hAnsi="Times"/>
          <w:sz w:val="18"/>
          <w:szCs w:val="18"/>
          <w:lang w:val="en-US"/>
        </w:rPr>
        <w:t>Abbreviations: OR, odds ratio; CI, confidence interval; EPTB, extrapulmonary tuberculosis; P</w:t>
      </w:r>
      <w:r>
        <w:rPr>
          <w:rFonts w:ascii="Times" w:hAnsi="Times"/>
          <w:sz w:val="18"/>
          <w:szCs w:val="18"/>
          <w:lang w:val="en-US"/>
        </w:rPr>
        <w:t>TB</w:t>
      </w:r>
      <w:r w:rsidRPr="00DF2143">
        <w:rPr>
          <w:rFonts w:ascii="Times" w:hAnsi="Times"/>
          <w:sz w:val="18"/>
          <w:szCs w:val="18"/>
          <w:lang w:val="en-US"/>
        </w:rPr>
        <w:t>, pulmonary tuberculosis; MDR, multidrug-resistant tuberculosis; XDR, extensively drug-resistant tuberculosis; NA, not applicable.</w:t>
      </w:r>
    </w:p>
    <w:p w14:paraId="1887D625" w14:textId="77777777" w:rsidR="00796D5D" w:rsidRDefault="00796D5D" w:rsidP="00796D5D">
      <w:pPr>
        <w:rPr>
          <w:rFonts w:ascii="Times" w:hAnsi="Times"/>
          <w:sz w:val="18"/>
          <w:szCs w:val="18"/>
          <w:lang w:val="en-US"/>
        </w:rPr>
      </w:pPr>
      <w:r>
        <w:rPr>
          <w:rFonts w:ascii="Times" w:hAnsi="Times"/>
          <w:b/>
          <w:bCs/>
          <w:sz w:val="18"/>
          <w:szCs w:val="18"/>
          <w:vertAlign w:val="superscript"/>
          <w:lang w:val="en-US"/>
        </w:rPr>
        <w:t>a</w:t>
      </w:r>
      <w:r w:rsidRPr="00DF2143">
        <w:rPr>
          <w:rFonts w:ascii="Times" w:hAnsi="Times"/>
          <w:sz w:val="18"/>
          <w:szCs w:val="18"/>
          <w:lang w:val="en-US"/>
        </w:rPr>
        <w:t xml:space="preserve"> </w:t>
      </w:r>
      <w:r w:rsidRPr="00DF2143">
        <w:rPr>
          <w:rFonts w:cs="Calibri"/>
          <w:sz w:val="18"/>
          <w:szCs w:val="18"/>
        </w:rPr>
        <w:t>﻿</w:t>
      </w:r>
      <w:r w:rsidRPr="00DF2143">
        <w:rPr>
          <w:rFonts w:ascii="Times" w:hAnsi="Times"/>
          <w:sz w:val="18"/>
          <w:szCs w:val="18"/>
          <w:lang w:val="en-US"/>
        </w:rPr>
        <w:t>P value and odds ratio were calculated comparing the extrapulmonary and pulmonary proportions for each variable with Fisher’s exact test.</w:t>
      </w:r>
    </w:p>
    <w:p w14:paraId="2E2F1785" w14:textId="77777777" w:rsidR="00796D5D" w:rsidRPr="00CC528B" w:rsidRDefault="00796D5D" w:rsidP="00796D5D">
      <w:pPr>
        <w:rPr>
          <w:rFonts w:ascii="Times" w:hAnsi="Times"/>
          <w:sz w:val="18"/>
          <w:szCs w:val="18"/>
          <w:lang w:val="en-US"/>
        </w:rPr>
      </w:pPr>
      <w:r>
        <w:rPr>
          <w:rFonts w:ascii="Times" w:hAnsi="Times"/>
          <w:sz w:val="18"/>
          <w:szCs w:val="18"/>
          <w:vertAlign w:val="superscript"/>
          <w:lang w:val="en-US"/>
        </w:rPr>
        <w:t>b</w:t>
      </w:r>
      <w:r>
        <w:rPr>
          <w:rFonts w:ascii="Times" w:hAnsi="Times"/>
          <w:sz w:val="18"/>
          <w:szCs w:val="18"/>
          <w:lang w:val="en-US"/>
        </w:rPr>
        <w:t xml:space="preserve"> Adjusted </w:t>
      </w:r>
      <w:r w:rsidRPr="00CC528B">
        <w:rPr>
          <w:rFonts w:cs="Calibri"/>
          <w:sz w:val="18"/>
          <w:szCs w:val="18"/>
          <w:lang w:val="en-US"/>
        </w:rPr>
        <w:t>﻿</w:t>
      </w:r>
      <w:r w:rsidRPr="00CC528B">
        <w:rPr>
          <w:rFonts w:ascii="Times" w:hAnsi="Times"/>
          <w:sz w:val="18"/>
          <w:szCs w:val="18"/>
          <w:lang w:val="en-US"/>
        </w:rPr>
        <w:t xml:space="preserve"> ORs with 95% confidence intervals</w:t>
      </w:r>
      <w:r>
        <w:rPr>
          <w:rFonts w:ascii="Times" w:hAnsi="Times"/>
          <w:sz w:val="18"/>
          <w:szCs w:val="18"/>
          <w:lang w:val="en-US"/>
        </w:rPr>
        <w:t xml:space="preserve"> including geographic region variable.</w:t>
      </w:r>
    </w:p>
    <w:p w14:paraId="5FA60721" w14:textId="77777777" w:rsidR="00796D5D" w:rsidRPr="00DF2143" w:rsidRDefault="00796D5D" w:rsidP="00796D5D">
      <w:pPr>
        <w:rPr>
          <w:rFonts w:ascii="Times" w:hAnsi="Times"/>
          <w:sz w:val="18"/>
          <w:szCs w:val="18"/>
          <w:lang w:val="en-US"/>
        </w:rPr>
      </w:pPr>
      <w:r w:rsidRPr="00DF2143">
        <w:rPr>
          <w:rFonts w:ascii="Times" w:hAnsi="Times"/>
          <w:sz w:val="18"/>
          <w:szCs w:val="18"/>
          <w:lang w:val="en-US"/>
        </w:rPr>
        <w:t>Bold value indicates a variable statistically significant at the level of 0.05</w:t>
      </w:r>
    </w:p>
    <w:p w14:paraId="7F6C7791" w14:textId="77777777" w:rsidR="00796D5D" w:rsidRDefault="00796D5D" w:rsidP="00796D5D">
      <w:pPr>
        <w:rPr>
          <w:rFonts w:ascii="Times" w:hAnsi="Times"/>
          <w:sz w:val="18"/>
          <w:szCs w:val="18"/>
          <w:lang w:val="en-US"/>
        </w:rPr>
      </w:pPr>
    </w:p>
    <w:p w14:paraId="49BBBE13" w14:textId="77777777" w:rsidR="00F20A2F" w:rsidRPr="0024220F" w:rsidRDefault="0024220F">
      <w:pPr>
        <w:rPr>
          <w:lang w:val="en-US"/>
        </w:rPr>
      </w:pPr>
    </w:p>
    <w:sectPr w:rsidR="00F20A2F" w:rsidRPr="0024220F" w:rsidSect="00434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5D"/>
    <w:rsid w:val="000D1BBC"/>
    <w:rsid w:val="0024220F"/>
    <w:rsid w:val="00406CE4"/>
    <w:rsid w:val="00434972"/>
    <w:rsid w:val="00796D5D"/>
    <w:rsid w:val="009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DEBC1"/>
  <w15:chartTrackingRefBased/>
  <w15:docId w15:val="{F0CC9210-2721-9348-8F73-6AF9D801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2021-06-26T03:31:00Z</dcterms:created>
  <dcterms:modified xsi:type="dcterms:W3CDTF">2021-06-26T03:32:00Z</dcterms:modified>
</cp:coreProperties>
</file>