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82B" w:rsidRPr="004E3019" w:rsidRDefault="006A723C">
      <w:r w:rsidRPr="004E3019">
        <w:rPr>
          <w:b/>
        </w:rPr>
        <w:t>Table X: Environmental parameters and site characteristics of each sampling site</w:t>
      </w:r>
      <w:r w:rsidR="004E3019" w:rsidRPr="004E3019">
        <w:rPr>
          <w:b/>
        </w:rPr>
        <w:t>.</w:t>
      </w:r>
      <w:r w:rsidR="004E3019">
        <w:t xml:space="preserve"> The environmental parameters were collected on 28</w:t>
      </w:r>
      <w:r w:rsidR="004E3019" w:rsidRPr="004E3019">
        <w:rPr>
          <w:vertAlign w:val="superscript"/>
        </w:rPr>
        <w:t>th</w:t>
      </w:r>
      <w:r w:rsidR="004E3019">
        <w:t xml:space="preserve"> June (Cape Verde), 15</w:t>
      </w:r>
      <w:r w:rsidR="004E3019" w:rsidRPr="004E3019">
        <w:rPr>
          <w:vertAlign w:val="superscript"/>
        </w:rPr>
        <w:t>th</w:t>
      </w:r>
      <w:r w:rsidR="004E3019">
        <w:t xml:space="preserve"> June (South Africa), 8</w:t>
      </w:r>
      <w:r w:rsidR="004E3019" w:rsidRPr="004E3019">
        <w:rPr>
          <w:vertAlign w:val="superscript"/>
        </w:rPr>
        <w:t>th</w:t>
      </w:r>
      <w:r w:rsidR="004E3019">
        <w:t xml:space="preserve"> June (Japan) and 29</w:t>
      </w:r>
      <w:r w:rsidR="004E3019" w:rsidRPr="004E3019">
        <w:rPr>
          <w:vertAlign w:val="superscript"/>
        </w:rPr>
        <w:t>th</w:t>
      </w:r>
      <w:r w:rsidR="004E3019">
        <w:t xml:space="preserve"> May (Chile) 2019.</w:t>
      </w:r>
    </w:p>
    <w:tbl>
      <w:tblPr>
        <w:tblStyle w:val="TableGrid"/>
        <w:tblpPr w:leftFromText="180" w:rightFromText="180" w:vertAnchor="text" w:horzAnchor="margin" w:tblpXSpec="center" w:tblpY="220"/>
        <w:tblW w:w="0" w:type="auto"/>
        <w:tblLook w:val="04A0" w:firstRow="1" w:lastRow="0" w:firstColumn="1" w:lastColumn="0" w:noHBand="0" w:noVBand="1"/>
      </w:tblPr>
      <w:tblGrid>
        <w:gridCol w:w="1705"/>
        <w:gridCol w:w="1355"/>
        <w:gridCol w:w="1834"/>
        <w:gridCol w:w="1946"/>
        <w:gridCol w:w="1044"/>
      </w:tblGrid>
      <w:tr w:rsidR="006A723C" w:rsidTr="004E3019">
        <w:trPr>
          <w:cantSplit/>
          <w:trHeight w:val="1134"/>
        </w:trPr>
        <w:tc>
          <w:tcPr>
            <w:tcW w:w="1705" w:type="dxa"/>
            <w:textDirection w:val="tbRl"/>
          </w:tcPr>
          <w:p w:rsidR="006A723C" w:rsidRDefault="006A723C" w:rsidP="00DE4191">
            <w:pPr>
              <w:ind w:left="113" w:right="113"/>
            </w:pPr>
            <w:r>
              <w:t>Chile</w:t>
            </w:r>
          </w:p>
        </w:tc>
        <w:tc>
          <w:tcPr>
            <w:tcW w:w="1355" w:type="dxa"/>
            <w:textDirection w:val="tbRl"/>
          </w:tcPr>
          <w:p w:rsidR="006A723C" w:rsidRDefault="006A723C" w:rsidP="00DE4191">
            <w:pPr>
              <w:ind w:left="113" w:right="113"/>
            </w:pPr>
            <w:r>
              <w:t>Japan</w:t>
            </w:r>
          </w:p>
        </w:tc>
        <w:tc>
          <w:tcPr>
            <w:tcW w:w="1834" w:type="dxa"/>
            <w:textDirection w:val="tbRl"/>
          </w:tcPr>
          <w:p w:rsidR="006A723C" w:rsidRDefault="006A723C" w:rsidP="00DE4191">
            <w:pPr>
              <w:ind w:left="113" w:right="113"/>
            </w:pPr>
            <w:r>
              <w:t>South Africa</w:t>
            </w:r>
          </w:p>
        </w:tc>
        <w:tc>
          <w:tcPr>
            <w:tcW w:w="1946" w:type="dxa"/>
            <w:textDirection w:val="tbRl"/>
          </w:tcPr>
          <w:p w:rsidR="006A723C" w:rsidRDefault="006A723C" w:rsidP="00DE4191">
            <w:pPr>
              <w:ind w:left="113" w:right="113"/>
            </w:pPr>
            <w:r>
              <w:t>Cape Verde</w:t>
            </w:r>
          </w:p>
        </w:tc>
        <w:tc>
          <w:tcPr>
            <w:tcW w:w="1044" w:type="dxa"/>
            <w:textDirection w:val="tbRl"/>
          </w:tcPr>
          <w:p w:rsidR="006A723C" w:rsidRPr="00DE4191" w:rsidRDefault="006A723C" w:rsidP="00DE4191">
            <w:pPr>
              <w:ind w:left="113" w:right="113"/>
              <w:rPr>
                <w:b/>
              </w:rPr>
            </w:pPr>
            <w:r w:rsidRPr="00DE4191">
              <w:rPr>
                <w:b/>
              </w:rPr>
              <w:t>Location</w:t>
            </w:r>
          </w:p>
        </w:tc>
      </w:tr>
      <w:tr w:rsidR="006A723C" w:rsidTr="004E3019">
        <w:trPr>
          <w:cantSplit/>
          <w:trHeight w:val="1640"/>
        </w:trPr>
        <w:tc>
          <w:tcPr>
            <w:tcW w:w="1705" w:type="dxa"/>
            <w:textDirection w:val="tbRl"/>
          </w:tcPr>
          <w:p w:rsidR="006A723C" w:rsidRDefault="006A723C" w:rsidP="00DE4191">
            <w:pPr>
              <w:ind w:left="113" w:right="113"/>
            </w:pPr>
            <w:r>
              <w:t xml:space="preserve">Punta de </w:t>
            </w:r>
            <w:proofErr w:type="spellStart"/>
            <w:r>
              <w:t>Choros</w:t>
            </w:r>
            <w:proofErr w:type="spellEnd"/>
            <w:r>
              <w:t>, Coquimbo</w:t>
            </w:r>
          </w:p>
        </w:tc>
        <w:tc>
          <w:tcPr>
            <w:tcW w:w="1355" w:type="dxa"/>
            <w:textDirection w:val="tbRl"/>
          </w:tcPr>
          <w:p w:rsidR="006A723C" w:rsidRDefault="006A723C" w:rsidP="00DE4191">
            <w:pPr>
              <w:ind w:left="113" w:right="113"/>
            </w:pPr>
            <w:proofErr w:type="spellStart"/>
            <w:r>
              <w:t>Aikappu</w:t>
            </w:r>
            <w:proofErr w:type="spellEnd"/>
            <w:r>
              <w:t xml:space="preserve"> cape, </w:t>
            </w:r>
            <w:proofErr w:type="spellStart"/>
            <w:r>
              <w:t>Akkeshi</w:t>
            </w:r>
            <w:proofErr w:type="spellEnd"/>
            <w:r>
              <w:t xml:space="preserve"> Hokkaido</w:t>
            </w:r>
          </w:p>
        </w:tc>
        <w:tc>
          <w:tcPr>
            <w:tcW w:w="1834" w:type="dxa"/>
            <w:textDirection w:val="tbRl"/>
          </w:tcPr>
          <w:p w:rsidR="006A723C" w:rsidRDefault="006A723C" w:rsidP="00DE4191">
            <w:pPr>
              <w:ind w:left="113" w:right="113"/>
            </w:pPr>
            <w:r>
              <w:t>Muizenberg</w:t>
            </w:r>
            <w:r w:rsidR="000C1D4C">
              <w:t>, Cape Town</w:t>
            </w:r>
          </w:p>
        </w:tc>
        <w:tc>
          <w:tcPr>
            <w:tcW w:w="1946" w:type="dxa"/>
            <w:textDirection w:val="tbRl"/>
          </w:tcPr>
          <w:p w:rsidR="006A723C" w:rsidRPr="006A723C" w:rsidRDefault="006A723C" w:rsidP="00DE4191">
            <w:pPr>
              <w:ind w:left="113" w:right="113"/>
            </w:pPr>
            <w:proofErr w:type="spellStart"/>
            <w:r w:rsidRPr="006A723C">
              <w:t>Baia</w:t>
            </w:r>
            <w:proofErr w:type="spellEnd"/>
            <w:r w:rsidRPr="006A723C">
              <w:t xml:space="preserve"> das </w:t>
            </w:r>
            <w:proofErr w:type="spellStart"/>
            <w:r w:rsidRPr="006A723C">
              <w:t>Gatas</w:t>
            </w:r>
            <w:proofErr w:type="spellEnd"/>
            <w:r w:rsidRPr="006A723C">
              <w:t>, S</w:t>
            </w:r>
            <w:r w:rsidRPr="006A723C">
              <w:rPr>
                <w:rFonts w:cstheme="minorHAnsi"/>
              </w:rPr>
              <w:t>ã</w:t>
            </w:r>
            <w:r w:rsidRPr="006A723C">
              <w:t>o Vincent</w:t>
            </w:r>
            <w:r>
              <w:t>e</w:t>
            </w:r>
          </w:p>
        </w:tc>
        <w:tc>
          <w:tcPr>
            <w:tcW w:w="1044" w:type="dxa"/>
            <w:textDirection w:val="tbRl"/>
          </w:tcPr>
          <w:p w:rsidR="006A723C" w:rsidRPr="00DE4191" w:rsidRDefault="006A723C" w:rsidP="00DE4191">
            <w:pPr>
              <w:ind w:left="113" w:right="113"/>
              <w:rPr>
                <w:b/>
              </w:rPr>
            </w:pPr>
            <w:r w:rsidRPr="00DE4191">
              <w:rPr>
                <w:b/>
              </w:rPr>
              <w:t>Collection site</w:t>
            </w:r>
          </w:p>
        </w:tc>
      </w:tr>
      <w:tr w:rsidR="006A723C" w:rsidTr="004E3019">
        <w:trPr>
          <w:cantSplit/>
          <w:trHeight w:val="1973"/>
        </w:trPr>
        <w:tc>
          <w:tcPr>
            <w:tcW w:w="1705" w:type="dxa"/>
            <w:textDirection w:val="tbRl"/>
          </w:tcPr>
          <w:p w:rsidR="006A723C" w:rsidRDefault="006A723C" w:rsidP="00DE4191">
            <w:pPr>
              <w:ind w:left="113" w:right="113"/>
            </w:pPr>
            <w:r w:rsidRPr="006A723C">
              <w:t>29°57'59.5"S 71°21'11.6"W</w:t>
            </w:r>
          </w:p>
        </w:tc>
        <w:tc>
          <w:tcPr>
            <w:tcW w:w="1355" w:type="dxa"/>
            <w:textDirection w:val="tbRl"/>
          </w:tcPr>
          <w:p w:rsidR="006A723C" w:rsidRDefault="006A723C" w:rsidP="00DE4191">
            <w:pPr>
              <w:ind w:left="113" w:right="113"/>
            </w:pPr>
            <w:r w:rsidRPr="006A723C">
              <w:t>43°0</w:t>
            </w:r>
            <w:r w:rsidR="004E3019">
              <w:t>1</w:t>
            </w:r>
            <w:r w:rsidRPr="006A723C">
              <w:t>'</w:t>
            </w:r>
            <w:r w:rsidR="004E3019">
              <w:t>14.3</w:t>
            </w:r>
            <w:r w:rsidRPr="006A723C">
              <w:t>"N 144°</w:t>
            </w:r>
            <w:r w:rsidR="004E3019">
              <w:t>50</w:t>
            </w:r>
            <w:r w:rsidRPr="006A723C">
              <w:t>'</w:t>
            </w:r>
            <w:r w:rsidR="004E3019">
              <w:t>12</w:t>
            </w:r>
            <w:r w:rsidRPr="006A723C">
              <w:t>.0"E</w:t>
            </w:r>
          </w:p>
        </w:tc>
        <w:tc>
          <w:tcPr>
            <w:tcW w:w="1834" w:type="dxa"/>
            <w:textDirection w:val="tbRl"/>
          </w:tcPr>
          <w:p w:rsidR="006A723C" w:rsidRDefault="006A723C" w:rsidP="00DE4191">
            <w:pPr>
              <w:ind w:left="113" w:right="113"/>
            </w:pPr>
            <w:r w:rsidRPr="006A723C">
              <w:t>34</w:t>
            </w:r>
            <w:r w:rsidR="004E3019">
              <w:t>°54</w:t>
            </w:r>
            <w:r w:rsidR="004E3019" w:rsidRPr="006A723C">
              <w:t>'</w:t>
            </w:r>
            <w:r w:rsidR="004E3019">
              <w:t>35.9</w:t>
            </w:r>
            <w:r w:rsidR="004E3019" w:rsidRPr="006A723C">
              <w:t>"</w:t>
            </w:r>
            <w:r w:rsidRPr="006A723C">
              <w:t>S, 18°</w:t>
            </w:r>
            <w:r w:rsidR="004E3019">
              <w:t>25</w:t>
            </w:r>
            <w:r w:rsidR="004E3019" w:rsidRPr="006A723C">
              <w:t>'</w:t>
            </w:r>
            <w:r w:rsidR="004E3019">
              <w:t>10.2</w:t>
            </w:r>
            <w:r w:rsidR="004E3019" w:rsidRPr="006A723C">
              <w:t>"</w:t>
            </w:r>
            <w:r w:rsidRPr="006A723C">
              <w:t xml:space="preserve"> E</w:t>
            </w:r>
          </w:p>
        </w:tc>
        <w:tc>
          <w:tcPr>
            <w:tcW w:w="1946" w:type="dxa"/>
            <w:textDirection w:val="tbRl"/>
          </w:tcPr>
          <w:p w:rsidR="006A723C" w:rsidRDefault="006A723C" w:rsidP="00DE4191">
            <w:pPr>
              <w:ind w:left="113" w:right="113"/>
            </w:pPr>
            <w:r w:rsidRPr="006A723C">
              <w:t>16°5</w:t>
            </w:r>
            <w:r w:rsidR="004E3019">
              <w:t>3</w:t>
            </w:r>
            <w:r w:rsidRPr="006A723C">
              <w:t>'11</w:t>
            </w:r>
            <w:r w:rsidR="004E3019">
              <w:t>.2</w:t>
            </w:r>
            <w:r w:rsidRPr="006A723C">
              <w:t>"N 24°5</w:t>
            </w:r>
            <w:r w:rsidR="004E3019">
              <w:t>9</w:t>
            </w:r>
            <w:r w:rsidRPr="006A723C">
              <w:t>'2</w:t>
            </w:r>
            <w:r w:rsidR="004E3019">
              <w:t>7.6</w:t>
            </w:r>
            <w:r w:rsidRPr="006A723C">
              <w:t>"W</w:t>
            </w:r>
          </w:p>
        </w:tc>
        <w:tc>
          <w:tcPr>
            <w:tcW w:w="1044" w:type="dxa"/>
            <w:textDirection w:val="tbRl"/>
          </w:tcPr>
          <w:p w:rsidR="006A723C" w:rsidRPr="00DE4191" w:rsidRDefault="006A723C" w:rsidP="00DE4191">
            <w:pPr>
              <w:ind w:left="113" w:right="113"/>
              <w:rPr>
                <w:b/>
              </w:rPr>
            </w:pPr>
            <w:r w:rsidRPr="00DE4191">
              <w:rPr>
                <w:b/>
              </w:rPr>
              <w:t>Coordinates</w:t>
            </w:r>
          </w:p>
        </w:tc>
      </w:tr>
      <w:tr w:rsidR="006A723C" w:rsidTr="004E3019">
        <w:trPr>
          <w:cantSplit/>
          <w:trHeight w:val="1523"/>
        </w:trPr>
        <w:tc>
          <w:tcPr>
            <w:tcW w:w="1705" w:type="dxa"/>
            <w:textDirection w:val="tbRl"/>
          </w:tcPr>
          <w:p w:rsidR="006A723C" w:rsidRDefault="006A723C" w:rsidP="00DE4191">
            <w:pPr>
              <w:ind w:left="113" w:right="113"/>
            </w:pPr>
            <w:r>
              <w:t>30-33</w:t>
            </w:r>
          </w:p>
        </w:tc>
        <w:tc>
          <w:tcPr>
            <w:tcW w:w="1355" w:type="dxa"/>
            <w:textDirection w:val="tbRl"/>
          </w:tcPr>
          <w:p w:rsidR="006A723C" w:rsidRDefault="006A723C" w:rsidP="00DE4191">
            <w:pPr>
              <w:ind w:left="113" w:right="113"/>
            </w:pPr>
            <w:r>
              <w:t>30,3-31,9</w:t>
            </w:r>
          </w:p>
        </w:tc>
        <w:tc>
          <w:tcPr>
            <w:tcW w:w="1834" w:type="dxa"/>
            <w:textDirection w:val="tbRl"/>
          </w:tcPr>
          <w:p w:rsidR="006A723C" w:rsidRDefault="006A723C" w:rsidP="00DE4191">
            <w:pPr>
              <w:ind w:left="113" w:right="113"/>
            </w:pPr>
            <w:r>
              <w:t>35-37</w:t>
            </w:r>
          </w:p>
        </w:tc>
        <w:tc>
          <w:tcPr>
            <w:tcW w:w="1946" w:type="dxa"/>
            <w:textDirection w:val="tbRl"/>
          </w:tcPr>
          <w:p w:rsidR="006A723C" w:rsidRDefault="006A723C" w:rsidP="00DE4191">
            <w:pPr>
              <w:ind w:left="113" w:right="113"/>
            </w:pPr>
            <w:r>
              <w:t>36-40</w:t>
            </w:r>
          </w:p>
        </w:tc>
        <w:tc>
          <w:tcPr>
            <w:tcW w:w="1044" w:type="dxa"/>
            <w:textDirection w:val="tbRl"/>
          </w:tcPr>
          <w:p w:rsidR="006A723C" w:rsidRPr="00DE4191" w:rsidRDefault="006A723C" w:rsidP="00DE4191">
            <w:pPr>
              <w:ind w:left="113" w:right="113"/>
              <w:rPr>
                <w:b/>
              </w:rPr>
            </w:pPr>
            <w:r w:rsidRPr="00DE4191">
              <w:rPr>
                <w:b/>
              </w:rPr>
              <w:t>Salinity range [</w:t>
            </w:r>
            <w:proofErr w:type="spellStart"/>
            <w:r w:rsidRPr="00DE4191">
              <w:rPr>
                <w:b/>
              </w:rPr>
              <w:t>psu</w:t>
            </w:r>
            <w:proofErr w:type="spellEnd"/>
            <w:r w:rsidRPr="00DE4191">
              <w:rPr>
                <w:b/>
              </w:rPr>
              <w:t>]</w:t>
            </w:r>
          </w:p>
        </w:tc>
      </w:tr>
      <w:tr w:rsidR="006A723C" w:rsidTr="004E3019">
        <w:trPr>
          <w:cantSplit/>
          <w:trHeight w:val="1415"/>
        </w:trPr>
        <w:tc>
          <w:tcPr>
            <w:tcW w:w="1705" w:type="dxa"/>
            <w:textDirection w:val="tbRl"/>
          </w:tcPr>
          <w:p w:rsidR="006A723C" w:rsidRDefault="006A723C" w:rsidP="00DE4191">
            <w:pPr>
              <w:ind w:left="113" w:right="113"/>
            </w:pPr>
            <w:r>
              <w:t>14</w:t>
            </w:r>
          </w:p>
        </w:tc>
        <w:tc>
          <w:tcPr>
            <w:tcW w:w="1355" w:type="dxa"/>
            <w:textDirection w:val="tbRl"/>
          </w:tcPr>
          <w:p w:rsidR="006A723C" w:rsidRDefault="006A723C" w:rsidP="00DE4191">
            <w:pPr>
              <w:ind w:left="113" w:right="113"/>
            </w:pPr>
            <w:r>
              <w:t>12</w:t>
            </w:r>
          </w:p>
        </w:tc>
        <w:tc>
          <w:tcPr>
            <w:tcW w:w="1834" w:type="dxa"/>
            <w:textDirection w:val="tbRl"/>
          </w:tcPr>
          <w:p w:rsidR="006A723C" w:rsidRDefault="006A723C" w:rsidP="00DE4191">
            <w:pPr>
              <w:ind w:left="113" w:right="113"/>
            </w:pPr>
            <w:r>
              <w:t>14-17</w:t>
            </w:r>
          </w:p>
        </w:tc>
        <w:tc>
          <w:tcPr>
            <w:tcW w:w="1946" w:type="dxa"/>
            <w:textDirection w:val="tbRl"/>
          </w:tcPr>
          <w:p w:rsidR="006A723C" w:rsidRDefault="006A723C" w:rsidP="00DE4191">
            <w:pPr>
              <w:ind w:left="113" w:right="113"/>
            </w:pPr>
            <w:r>
              <w:t>27</w:t>
            </w:r>
          </w:p>
        </w:tc>
        <w:tc>
          <w:tcPr>
            <w:tcW w:w="1044" w:type="dxa"/>
            <w:textDirection w:val="tbRl"/>
          </w:tcPr>
          <w:p w:rsidR="006A723C" w:rsidRPr="00DE4191" w:rsidRDefault="006A723C" w:rsidP="00DE4191">
            <w:pPr>
              <w:ind w:left="113" w:right="113"/>
              <w:rPr>
                <w:b/>
              </w:rPr>
            </w:pPr>
            <w:r w:rsidRPr="00DE4191">
              <w:rPr>
                <w:b/>
              </w:rPr>
              <w:t>Water temperature [°C]</w:t>
            </w:r>
          </w:p>
        </w:tc>
      </w:tr>
      <w:tr w:rsidR="006A723C" w:rsidTr="004E3019">
        <w:trPr>
          <w:cantSplit/>
          <w:trHeight w:val="3773"/>
        </w:trPr>
        <w:tc>
          <w:tcPr>
            <w:tcW w:w="1705" w:type="dxa"/>
            <w:textDirection w:val="tbRl"/>
          </w:tcPr>
          <w:p w:rsidR="006A723C" w:rsidRDefault="004E3019" w:rsidP="00DE4191">
            <w:pPr>
              <w:ind w:left="113" w:right="113"/>
            </w:pPr>
            <w:r>
              <w:t>The coast from Coquimbo is influenced by the Humboldt current, a productive upwelling zone along the Chilean coast, transporting cold and nutrient rich waters.</w:t>
            </w:r>
          </w:p>
        </w:tc>
        <w:tc>
          <w:tcPr>
            <w:tcW w:w="1355" w:type="dxa"/>
            <w:textDirection w:val="tbRl"/>
          </w:tcPr>
          <w:p w:rsidR="006A723C" w:rsidRDefault="004E3019" w:rsidP="00DE4191">
            <w:pPr>
              <w:ind w:left="113" w:right="113"/>
            </w:pPr>
            <w:r>
              <w:t xml:space="preserve">The </w:t>
            </w:r>
            <w:proofErr w:type="spellStart"/>
            <w:r>
              <w:t>Akkeshi</w:t>
            </w:r>
            <w:proofErr w:type="spellEnd"/>
            <w:r>
              <w:t xml:space="preserve"> bay is influenced by the </w:t>
            </w:r>
            <w:proofErr w:type="spellStart"/>
            <w:r>
              <w:t>Oyashio</w:t>
            </w:r>
            <w:proofErr w:type="spellEnd"/>
            <w:r>
              <w:t xml:space="preserve"> current, transporting cold and nutrient rich waters from the north pole.</w:t>
            </w:r>
          </w:p>
        </w:tc>
        <w:tc>
          <w:tcPr>
            <w:tcW w:w="1834" w:type="dxa"/>
            <w:textDirection w:val="tbRl"/>
          </w:tcPr>
          <w:p w:rsidR="006A723C" w:rsidRDefault="000C1D4C" w:rsidP="00DE4191">
            <w:pPr>
              <w:ind w:left="113" w:right="113"/>
            </w:pPr>
            <w:r>
              <w:t>The coastal region of Cape Town is part of the Benguela Upwelling system, characterized by cold and nutrient rich waters being transported to the surface throughout the year with only little fluctuation.</w:t>
            </w:r>
          </w:p>
        </w:tc>
        <w:tc>
          <w:tcPr>
            <w:tcW w:w="1946" w:type="dxa"/>
            <w:textDirection w:val="tbRl"/>
          </w:tcPr>
          <w:p w:rsidR="006A723C" w:rsidRDefault="006A723C" w:rsidP="00DE4191">
            <w:pPr>
              <w:ind w:left="113" w:right="113"/>
            </w:pPr>
            <w:r>
              <w:t xml:space="preserve">The island of </w:t>
            </w:r>
            <w:r w:rsidRPr="006A723C">
              <w:t>S</w:t>
            </w:r>
            <w:r w:rsidRPr="006A723C">
              <w:rPr>
                <w:rFonts w:cstheme="minorHAnsi"/>
              </w:rPr>
              <w:t>ã</w:t>
            </w:r>
            <w:r w:rsidRPr="006A723C">
              <w:t>o Vincent</w:t>
            </w:r>
            <w:r>
              <w:t>e</w:t>
            </w:r>
            <w:r>
              <w:t xml:space="preserve"> is located between </w:t>
            </w:r>
            <w:r w:rsidR="00DE4191">
              <w:t xml:space="preserve">cold </w:t>
            </w:r>
            <w:proofErr w:type="spellStart"/>
            <w:r w:rsidR="00DE4191">
              <w:t>subtropic</w:t>
            </w:r>
            <w:proofErr w:type="spellEnd"/>
            <w:r w:rsidR="00DE4191">
              <w:t xml:space="preserve"> and tropical warm water masses. Furthermore, the coastal waters can be influenced by terrestrial dust particles from Europe and the </w:t>
            </w:r>
            <w:r w:rsidR="000C1D4C">
              <w:t>Sahara Desert</w:t>
            </w:r>
            <w:r w:rsidR="00DE4191">
              <w:t>.</w:t>
            </w:r>
          </w:p>
        </w:tc>
        <w:tc>
          <w:tcPr>
            <w:tcW w:w="1044" w:type="dxa"/>
            <w:textDirection w:val="tbRl"/>
          </w:tcPr>
          <w:p w:rsidR="006A723C" w:rsidRPr="00DE4191" w:rsidRDefault="006A723C" w:rsidP="00DE4191">
            <w:pPr>
              <w:ind w:left="113" w:right="113"/>
              <w:rPr>
                <w:b/>
              </w:rPr>
            </w:pPr>
            <w:r w:rsidRPr="00DE4191">
              <w:rPr>
                <w:b/>
              </w:rPr>
              <w:t>Site characteristics</w:t>
            </w:r>
          </w:p>
        </w:tc>
      </w:tr>
    </w:tbl>
    <w:p w:rsidR="006A723C" w:rsidRPr="006A723C" w:rsidRDefault="006A723C">
      <w:bookmarkStart w:id="0" w:name="_GoBack"/>
      <w:bookmarkEnd w:id="0"/>
    </w:p>
    <w:sectPr w:rsidR="006A723C" w:rsidRPr="006A7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3C"/>
    <w:rsid w:val="000C1D4C"/>
    <w:rsid w:val="004357F7"/>
    <w:rsid w:val="004E3019"/>
    <w:rsid w:val="006A723C"/>
    <w:rsid w:val="008157DB"/>
    <w:rsid w:val="00DB02A8"/>
    <w:rsid w:val="00DE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50D8"/>
  <w15:chartTrackingRefBased/>
  <w15:docId w15:val="{3D525E79-3F91-4229-8907-DB17D8CC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 Erik</dc:creator>
  <cp:keywords/>
  <dc:description/>
  <cp:lastModifiedBy>Borchert, Erik</cp:lastModifiedBy>
  <cp:revision>1</cp:revision>
  <dcterms:created xsi:type="dcterms:W3CDTF">2021-06-02T07:46:00Z</dcterms:created>
  <dcterms:modified xsi:type="dcterms:W3CDTF">2021-06-02T08:37:00Z</dcterms:modified>
</cp:coreProperties>
</file>