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03F6" w14:textId="77777777" w:rsidR="00EB6780" w:rsidRPr="00416CC9" w:rsidRDefault="00284B70" w:rsidP="00643B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6CC9">
        <w:rPr>
          <w:rFonts w:ascii="Times New Roman" w:hAnsi="Times New Roman" w:cs="Times New Roman"/>
          <w:sz w:val="24"/>
          <w:szCs w:val="24"/>
          <w:lang w:val="en-US"/>
        </w:rPr>
        <w:t>Electronic Supplementary Material</w:t>
      </w:r>
    </w:p>
    <w:p w14:paraId="0BB6E104" w14:textId="77777777" w:rsidR="00643B8F" w:rsidRPr="00416CC9" w:rsidRDefault="00643B8F" w:rsidP="00643B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E31878" w14:textId="498ED532" w:rsidR="00284B70" w:rsidRPr="00416CC9" w:rsidRDefault="001060EA" w:rsidP="00284B70">
      <w:pPr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1060EA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Preliminary </w:t>
      </w:r>
      <w:r w:rsidR="00284B70" w:rsidRPr="00416CC9">
        <w:rPr>
          <w:rFonts w:ascii="Times New Roman" w:eastAsia="Arial" w:hAnsi="Times New Roman" w:cs="Times New Roman"/>
          <w:b/>
          <w:sz w:val="24"/>
          <w:szCs w:val="24"/>
          <w:lang w:val="en-US"/>
        </w:rPr>
        <w:t>placement and new records of an overlooked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ee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  <w:r w:rsidR="00284B70" w:rsidRPr="00416CC9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 xml:space="preserve">Christiana </w:t>
      </w:r>
      <w:proofErr w:type="spellStart"/>
      <w:r w:rsidR="00284B70" w:rsidRPr="00416CC9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mennegae</w:t>
      </w:r>
      <w:proofErr w:type="spellEnd"/>
      <w:r w:rsidR="00284B70" w:rsidRPr="00416CC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284B70" w:rsidRPr="00416CC9">
        <w:rPr>
          <w:rFonts w:ascii="Times New Roman" w:eastAsia="Arial" w:hAnsi="Times New Roman" w:cs="Times New Roman"/>
          <w:b/>
          <w:sz w:val="24"/>
          <w:szCs w:val="24"/>
          <w:lang w:val="en-US"/>
        </w:rPr>
        <w:t>Malvaceae</w:t>
      </w:r>
      <w:proofErr w:type="spellEnd"/>
      <w:r w:rsidR="00284B70" w:rsidRPr="00416CC9">
        <w:rPr>
          <w:rFonts w:ascii="Times New Roman" w:eastAsia="Arial" w:hAnsi="Times New Roman" w:cs="Times New Roman"/>
          <w:b/>
          <w:sz w:val="24"/>
          <w:szCs w:val="24"/>
          <w:lang w:val="en-US"/>
        </w:rPr>
        <w:t>)</w:t>
      </w:r>
    </w:p>
    <w:p w14:paraId="002E680C" w14:textId="77777777" w:rsidR="00284B70" w:rsidRPr="00416CC9" w:rsidRDefault="00284B70" w:rsidP="00284B70">
      <w:pPr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0F5A4D89" w14:textId="77777777" w:rsidR="00284B70" w:rsidRDefault="00284B70" w:rsidP="00284B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</w:pPr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Rafael Gomes Barbosa-Silva, Thales Silva Coutinho, Santelmo Vasconcelos,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Delmo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Fonseca da Silva, Guilherme Oliveira, Daniela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Zappi</w:t>
      </w:r>
      <w:proofErr w:type="spellEnd"/>
    </w:p>
    <w:p w14:paraId="165D3B96" w14:textId="77777777" w:rsidR="00284B70" w:rsidRDefault="00284B70" w:rsidP="00284B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</w:pPr>
    </w:p>
    <w:p w14:paraId="11C3A344" w14:textId="77777777" w:rsidR="00284B70" w:rsidRDefault="00284B70" w:rsidP="00284B70">
      <w:pPr>
        <w:spacing w:after="0" w:line="276" w:lineRule="auto"/>
        <w:jc w:val="both"/>
      </w:pP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 Rafael G. Barbosa-Silva</w:t>
      </w:r>
    </w:p>
    <w:p w14:paraId="195B1CE8" w14:textId="77777777" w:rsidR="00284B70" w:rsidRPr="00416CC9" w:rsidRDefault="00284B70" w:rsidP="00284B70">
      <w:pPr>
        <w:spacing w:after="0" w:line="276" w:lineRule="auto"/>
        <w:jc w:val="both"/>
        <w:rPr>
          <w:lang w:val="en-US"/>
        </w:rPr>
      </w:pPr>
      <w:r w:rsidRPr="00416CC9">
        <w:rPr>
          <w:lang w:val="en-US"/>
        </w:rPr>
        <w:t xml:space="preserve">Email: </w:t>
      </w:r>
      <w:hyperlink r:id="rId4" w:history="1">
        <w:r w:rsidRPr="00416CC9">
          <w:rPr>
            <w:rStyle w:val="Hyperlink"/>
            <w:lang w:val="en-US"/>
          </w:rPr>
          <w:t>rafa.g29@gmail.com</w:t>
        </w:r>
      </w:hyperlink>
      <w:bookmarkStart w:id="0" w:name="_GoBack"/>
      <w:bookmarkEnd w:id="0"/>
    </w:p>
    <w:p w14:paraId="5770A268" w14:textId="77777777" w:rsidR="00284B70" w:rsidRPr="00416CC9" w:rsidRDefault="00284B70" w:rsidP="00284B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17135D7B" w14:textId="77777777" w:rsidR="00284B70" w:rsidRPr="00416CC9" w:rsidRDefault="00284B70" w:rsidP="00284B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5CF5E829" w14:textId="77777777" w:rsidR="00284B70" w:rsidRPr="00643B8F" w:rsidRDefault="00284B70" w:rsidP="00284B70">
      <w:pPr>
        <w:pStyle w:val="Ttulo3"/>
        <w:spacing w:line="360" w:lineRule="auto"/>
        <w:jc w:val="both"/>
        <w:rPr>
          <w:rFonts w:cs="Times New Roman"/>
          <w:b/>
          <w:i w:val="0"/>
        </w:rPr>
      </w:pPr>
      <w:r w:rsidRPr="00643B8F">
        <w:rPr>
          <w:rFonts w:eastAsia="Arial" w:cs="Times New Roman"/>
          <w:b/>
          <w:i w:val="0"/>
          <w:color w:val="000000"/>
        </w:rPr>
        <w:t>Material and methods</w:t>
      </w:r>
      <w:r w:rsidRPr="00643B8F">
        <w:rPr>
          <w:rFonts w:cs="Times New Roman"/>
          <w:b/>
          <w:i w:val="0"/>
        </w:rPr>
        <w:t xml:space="preserve">     </w:t>
      </w:r>
    </w:p>
    <w:p w14:paraId="60D85ABD" w14:textId="77777777" w:rsidR="00284B70" w:rsidRPr="00416CC9" w:rsidRDefault="00284B70" w:rsidP="00284B70">
      <w:pPr>
        <w:spacing w:after="0" w:line="276" w:lineRule="auto"/>
        <w:jc w:val="both"/>
        <w:rPr>
          <w:rFonts w:cs="Times New Roman"/>
          <w:b/>
          <w:i/>
          <w:lang w:val="en-US"/>
        </w:rPr>
      </w:pPr>
      <w:r w:rsidRPr="00416CC9">
        <w:rPr>
          <w:rFonts w:cs="Times New Roman"/>
          <w:b/>
          <w:i/>
          <w:lang w:val="en-US"/>
        </w:rPr>
        <w:t>DNA Extraction and Phylogenetic analysis.</w:t>
      </w:r>
    </w:p>
    <w:p w14:paraId="671DE970" w14:textId="77777777" w:rsidR="00284B70" w:rsidRPr="00416CC9" w:rsidRDefault="00284B70" w:rsidP="00284B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Young leaf tissues of </w:t>
      </w:r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mennegae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collected in 2% CTAB-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saturated buffer (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Rogstad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1992), then the automated DNA extraction protocol with 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QIAcube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 (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was followed using the ‘Q protocol V1’ of the 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QIAamp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96 DNA Kit (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according to manufacturer’s instructions. The PCR conditions followed 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Ramalho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(2018) and the bidirectional sequencing reactions </w:t>
      </w:r>
      <w:proofErr w:type="gram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were performed</w:t>
      </w:r>
      <w:proofErr w:type="gram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an ABI 3730 DNA Analyzer (Applied Biosystems), with the 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BigDye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Terminator v3.1 Cycle Sequencing Kit (</w:t>
      </w:r>
      <w:proofErr w:type="spellStart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Fisher). Forward and reverse reads obtained for each marker were assembled in a consensus sequence with PIPEBAR (Oliveira et al., 2018), using the recommended settings for coding (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rbc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) and intergenic (ITS2) regions.</w:t>
      </w:r>
    </w:p>
    <w:p w14:paraId="0191534B" w14:textId="77777777" w:rsidR="00284B70" w:rsidRPr="00416CC9" w:rsidRDefault="00284B70" w:rsidP="00284B7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Markov Chain Monte Carlo (MCMC) analyses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were run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MrBayes</w:t>
      </w:r>
      <w:proofErr w:type="spell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for 50,000,000 generations, starting with a random tree and sampling every 5,000 generations. The first 25% of the trees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were discarded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as the burn-in, and the remaining trees were used to generate a majority-rule consensus tree. Clades with posterior probability values (PP) ≥ 0.95 were considered as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well-supported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(Eriksson, 2001; Alfaro, 2003; </w:t>
      </w:r>
      <w:proofErr w:type="spell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Kolaczkowski</w:t>
      </w:r>
      <w:proofErr w:type="spell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&amp; Thornton, 2007). ML tree searches and bootstrap estimates of clade support were conducted with </w:t>
      </w:r>
      <w:proofErr w:type="spell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RAxML</w:t>
      </w:r>
      <w:proofErr w:type="spell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Stamatakis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</w:t>
      </w:r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2005), using the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GTR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substitution model with gamma-distributed rate heterogeneity among sites and the proportions of invariable sites estimated from the data. For the ML analyses, clades presenting bootstrap support values (BS) ≥ 75%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were considered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as strongly supported (Hillis &amp; Bull, 1993). Both BI and ML analyses </w:t>
      </w:r>
      <w:proofErr w:type="gramStart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were performed</w:t>
      </w:r>
      <w:proofErr w:type="gramEnd"/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at the CIPRES Science Gateway (Miller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 2010).</w:t>
      </w:r>
    </w:p>
    <w:p w14:paraId="3F352369" w14:textId="77777777" w:rsidR="00643B8F" w:rsidRPr="004D096A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D096A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lastRenderedPageBreak/>
        <w:t>Results</w:t>
      </w:r>
    </w:p>
    <w:p w14:paraId="749C51B4" w14:textId="77777777" w:rsidR="00643B8F" w:rsidRPr="004D096A" w:rsidRDefault="00643B8F" w:rsidP="00284B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2BF75489" w14:textId="77777777" w:rsidR="00643B8F" w:rsidRPr="004D096A" w:rsidRDefault="00643B8F" w:rsidP="00643B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096A">
        <w:rPr>
          <w:rFonts w:ascii="Times New Roman" w:hAnsi="Times New Roman" w:cs="Times New Roman"/>
          <w:sz w:val="24"/>
          <w:szCs w:val="24"/>
          <w:lang w:val="en-US"/>
        </w:rPr>
        <w:t>Table</w:t>
      </w:r>
    </w:p>
    <w:p w14:paraId="4A72E635" w14:textId="2BFA516F" w:rsidR="00643B8F" w:rsidRPr="00E96A78" w:rsidRDefault="00643B8F" w:rsidP="00643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1. Morphological comparison among species of </w:t>
      </w:r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Christiana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DC. </w:t>
      </w:r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>based</w:t>
      </w:r>
      <w:proofErr w:type="gramEnd"/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our own data and Jansen-Jacob</w:t>
      </w:r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>Westra</w:t>
      </w:r>
      <w:proofErr w:type="spellEnd"/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1983; </w:t>
      </w:r>
      <w:proofErr w:type="spellStart"/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>Kubitzki</w:t>
      </w:r>
      <w:proofErr w:type="spellEnd"/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1995; </w:t>
      </w:r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Sprague 1908; </w:t>
      </w:r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>Toledo 1952</w:t>
      </w:r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and </w:t>
      </w:r>
      <w:proofErr w:type="spellStart"/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>Tschá</w:t>
      </w:r>
      <w:proofErr w:type="spellEnd"/>
      <w:r w:rsidR="00C033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2002</w:t>
      </w:r>
      <w:r w:rsidR="00C033A0" w:rsidRPr="00E96A78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34F6624F" w14:textId="77777777" w:rsidR="00643B8F" w:rsidRPr="00E96A78" w:rsidRDefault="00643B8F" w:rsidP="00643B8F">
      <w:pPr>
        <w:rPr>
          <w:lang w:val="en-US"/>
        </w:rPr>
      </w:pPr>
    </w:p>
    <w:tbl>
      <w:tblPr>
        <w:tblW w:w="8777" w:type="dxa"/>
        <w:tblInd w:w="-2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409"/>
        <w:gridCol w:w="1405"/>
        <w:gridCol w:w="1609"/>
        <w:gridCol w:w="1559"/>
        <w:gridCol w:w="1405"/>
      </w:tblGrid>
      <w:tr w:rsidR="00643B8F" w14:paraId="08B8CDB4" w14:textId="77777777" w:rsidTr="00643B8F">
        <w:tc>
          <w:tcPr>
            <w:tcW w:w="1390" w:type="dxa"/>
          </w:tcPr>
          <w:p w14:paraId="6B264F7B" w14:textId="77777777" w:rsidR="00643B8F" w:rsidRPr="00E96A78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hideMark/>
          </w:tcPr>
          <w:p w14:paraId="37C41945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C. africana</w:t>
            </w:r>
          </w:p>
        </w:tc>
        <w:tc>
          <w:tcPr>
            <w:tcW w:w="1405" w:type="dxa"/>
            <w:hideMark/>
          </w:tcPr>
          <w:p w14:paraId="790A4202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eburnea</w:t>
            </w:r>
            <w:proofErr w:type="spellEnd"/>
          </w:p>
        </w:tc>
        <w:tc>
          <w:tcPr>
            <w:tcW w:w="1609" w:type="dxa"/>
            <w:hideMark/>
          </w:tcPr>
          <w:p w14:paraId="19932DAE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macrodon</w:t>
            </w:r>
            <w:proofErr w:type="spellEnd"/>
          </w:p>
        </w:tc>
        <w:tc>
          <w:tcPr>
            <w:tcW w:w="1559" w:type="dxa"/>
            <w:hideMark/>
          </w:tcPr>
          <w:p w14:paraId="3E4C35DE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menneage</w:t>
            </w:r>
            <w:proofErr w:type="spellEnd"/>
          </w:p>
        </w:tc>
        <w:tc>
          <w:tcPr>
            <w:tcW w:w="1405" w:type="dxa"/>
            <w:hideMark/>
          </w:tcPr>
          <w:p w14:paraId="0CBB4E55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vescoana</w:t>
            </w:r>
            <w:proofErr w:type="spellEnd"/>
          </w:p>
        </w:tc>
      </w:tr>
      <w:tr w:rsidR="00643B8F" w14:paraId="12CEBA56" w14:textId="77777777" w:rsidTr="00643B8F">
        <w:tc>
          <w:tcPr>
            <w:tcW w:w="1390" w:type="dxa"/>
            <w:hideMark/>
          </w:tcPr>
          <w:p w14:paraId="34B8160F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Leaf-blade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margins</w:t>
            </w:r>
            <w:proofErr w:type="spellEnd"/>
          </w:p>
        </w:tc>
        <w:tc>
          <w:tcPr>
            <w:tcW w:w="1409" w:type="dxa"/>
            <w:hideMark/>
          </w:tcPr>
          <w:p w14:paraId="1533029C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</w:t>
            </w:r>
            <w:proofErr w:type="spellEnd"/>
          </w:p>
        </w:tc>
        <w:tc>
          <w:tcPr>
            <w:tcW w:w="1405" w:type="dxa"/>
            <w:hideMark/>
          </w:tcPr>
          <w:p w14:paraId="60F7E73F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</w:t>
            </w:r>
            <w:proofErr w:type="spellEnd"/>
          </w:p>
        </w:tc>
        <w:tc>
          <w:tcPr>
            <w:tcW w:w="1609" w:type="dxa"/>
            <w:hideMark/>
          </w:tcPr>
          <w:p w14:paraId="216F4E28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Sparsely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dentate</w:t>
            </w:r>
            <w:proofErr w:type="spellEnd"/>
          </w:p>
        </w:tc>
        <w:tc>
          <w:tcPr>
            <w:tcW w:w="1559" w:type="dxa"/>
            <w:hideMark/>
          </w:tcPr>
          <w:p w14:paraId="46160815" w14:textId="77777777" w:rsidR="00643B8F" w:rsidRPr="00416CC9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6C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Entire or rarely slightly </w:t>
            </w:r>
            <w:proofErr w:type="spellStart"/>
            <w:r w:rsidRPr="00416C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erose</w:t>
            </w:r>
            <w:proofErr w:type="spellEnd"/>
          </w:p>
        </w:tc>
        <w:tc>
          <w:tcPr>
            <w:tcW w:w="1405" w:type="dxa"/>
            <w:hideMark/>
          </w:tcPr>
          <w:p w14:paraId="5640E645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</w:t>
            </w:r>
            <w:proofErr w:type="spellEnd"/>
          </w:p>
        </w:tc>
      </w:tr>
      <w:tr w:rsidR="00643B8F" w14:paraId="6E5F8A54" w14:textId="77777777" w:rsidTr="00643B8F">
        <w:tc>
          <w:tcPr>
            <w:tcW w:w="1390" w:type="dxa"/>
            <w:hideMark/>
          </w:tcPr>
          <w:p w14:paraId="1FCF43D8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Leaf-blade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shape</w:t>
            </w:r>
            <w:proofErr w:type="spellEnd"/>
          </w:p>
        </w:tc>
        <w:tc>
          <w:tcPr>
            <w:tcW w:w="1409" w:type="dxa"/>
            <w:hideMark/>
          </w:tcPr>
          <w:p w14:paraId="6D6A7DB2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ovate</w:t>
            </w:r>
            <w:proofErr w:type="spellEnd"/>
          </w:p>
        </w:tc>
        <w:tc>
          <w:tcPr>
            <w:tcW w:w="1405" w:type="dxa"/>
            <w:hideMark/>
          </w:tcPr>
          <w:p w14:paraId="296519C4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Ovate</w:t>
            </w:r>
            <w:proofErr w:type="spellEnd"/>
          </w:p>
        </w:tc>
        <w:tc>
          <w:tcPr>
            <w:tcW w:w="1609" w:type="dxa"/>
            <w:hideMark/>
          </w:tcPr>
          <w:p w14:paraId="269A30AC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circular</w:t>
            </w:r>
          </w:p>
        </w:tc>
        <w:tc>
          <w:tcPr>
            <w:tcW w:w="1559" w:type="dxa"/>
            <w:hideMark/>
          </w:tcPr>
          <w:p w14:paraId="044A005E" w14:textId="77777777" w:rsidR="00643B8F" w:rsidRPr="00416CC9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16C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Narrowly elliptic, lanceolate or oblanceolate</w:t>
            </w:r>
          </w:p>
        </w:tc>
        <w:tc>
          <w:tcPr>
            <w:tcW w:w="1405" w:type="dxa"/>
            <w:hideMark/>
          </w:tcPr>
          <w:p w14:paraId="25FCCD5F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ovate</w:t>
            </w:r>
            <w:proofErr w:type="spellEnd"/>
          </w:p>
        </w:tc>
      </w:tr>
      <w:tr w:rsidR="00643B8F" w14:paraId="1F4FB6D9" w14:textId="77777777" w:rsidTr="00643B8F">
        <w:tc>
          <w:tcPr>
            <w:tcW w:w="1390" w:type="dxa"/>
            <w:hideMark/>
          </w:tcPr>
          <w:p w14:paraId="624AAA08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Leaf-blade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</w:t>
            </w:r>
          </w:p>
        </w:tc>
        <w:tc>
          <w:tcPr>
            <w:tcW w:w="1409" w:type="dxa"/>
            <w:hideMark/>
          </w:tcPr>
          <w:p w14:paraId="6569D5F0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Cordate</w:t>
            </w:r>
            <w:proofErr w:type="spellEnd"/>
          </w:p>
        </w:tc>
        <w:tc>
          <w:tcPr>
            <w:tcW w:w="1405" w:type="dxa"/>
            <w:hideMark/>
          </w:tcPr>
          <w:p w14:paraId="28413AA5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subcordate</w:t>
            </w:r>
            <w:proofErr w:type="spellEnd"/>
          </w:p>
        </w:tc>
        <w:tc>
          <w:tcPr>
            <w:tcW w:w="1609" w:type="dxa"/>
            <w:hideMark/>
          </w:tcPr>
          <w:p w14:paraId="69739957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Cordate</w:t>
            </w:r>
            <w:proofErr w:type="spellEnd"/>
          </w:p>
        </w:tc>
        <w:tc>
          <w:tcPr>
            <w:tcW w:w="1559" w:type="dxa"/>
            <w:hideMark/>
          </w:tcPr>
          <w:p w14:paraId="12CE90CD" w14:textId="50BA623C" w:rsidR="00643B8F" w:rsidRPr="001028B1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0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Rounded to obtuse</w:t>
            </w:r>
            <w:r w:rsidR="00C033A0" w:rsidRPr="00102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, rarely co</w:t>
            </w:r>
            <w:r w:rsidR="00C033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rdate</w:t>
            </w:r>
          </w:p>
        </w:tc>
        <w:tc>
          <w:tcPr>
            <w:tcW w:w="1405" w:type="dxa"/>
            <w:hideMark/>
          </w:tcPr>
          <w:p w14:paraId="1995B50F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Cordate</w:t>
            </w:r>
            <w:proofErr w:type="spellEnd"/>
          </w:p>
        </w:tc>
      </w:tr>
      <w:tr w:rsidR="00643B8F" w14:paraId="62357ACA" w14:textId="77777777" w:rsidTr="00643B8F">
        <w:tc>
          <w:tcPr>
            <w:tcW w:w="1390" w:type="dxa"/>
            <w:hideMark/>
          </w:tcPr>
          <w:p w14:paraId="502677BA" w14:textId="77777777" w:rsidR="00643B8F" w:rsidRPr="00416CC9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Trichomes</w:t>
            </w:r>
            <w:proofErr w:type="spellEnd"/>
            <w:r w:rsidRPr="00416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type on the leaf-blade</w:t>
            </w:r>
          </w:p>
        </w:tc>
        <w:tc>
          <w:tcPr>
            <w:tcW w:w="1409" w:type="dxa"/>
            <w:hideMark/>
          </w:tcPr>
          <w:p w14:paraId="6ECBECB0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Stellate</w:t>
            </w:r>
            <w:proofErr w:type="spellEnd"/>
          </w:p>
        </w:tc>
        <w:tc>
          <w:tcPr>
            <w:tcW w:w="1405" w:type="dxa"/>
            <w:hideMark/>
          </w:tcPr>
          <w:p w14:paraId="20441F24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Stellate</w:t>
            </w:r>
            <w:proofErr w:type="spellEnd"/>
          </w:p>
        </w:tc>
        <w:tc>
          <w:tcPr>
            <w:tcW w:w="1609" w:type="dxa"/>
            <w:hideMark/>
          </w:tcPr>
          <w:p w14:paraId="706B5DA6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Stellate</w:t>
            </w:r>
            <w:proofErr w:type="spellEnd"/>
          </w:p>
        </w:tc>
        <w:tc>
          <w:tcPr>
            <w:tcW w:w="1559" w:type="dxa"/>
            <w:hideMark/>
          </w:tcPr>
          <w:p w14:paraId="61F4A4A3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Stellate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glandular</w:t>
            </w:r>
          </w:p>
        </w:tc>
        <w:tc>
          <w:tcPr>
            <w:tcW w:w="1405" w:type="dxa"/>
            <w:hideMark/>
          </w:tcPr>
          <w:p w14:paraId="015CDA75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Stellate</w:t>
            </w:r>
            <w:proofErr w:type="spellEnd"/>
          </w:p>
        </w:tc>
      </w:tr>
      <w:tr w:rsidR="00643B8F" w14:paraId="3CCA22F7" w14:textId="77777777" w:rsidTr="00643B8F">
        <w:tc>
          <w:tcPr>
            <w:tcW w:w="1390" w:type="dxa"/>
            <w:hideMark/>
          </w:tcPr>
          <w:p w14:paraId="38B491BE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shape</w:t>
            </w:r>
            <w:proofErr w:type="spellEnd"/>
          </w:p>
        </w:tc>
        <w:tc>
          <w:tcPr>
            <w:tcW w:w="1409" w:type="dxa"/>
            <w:hideMark/>
          </w:tcPr>
          <w:p w14:paraId="0247FCB8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Depressed-globose</w:t>
            </w:r>
            <w:proofErr w:type="spellEnd"/>
          </w:p>
        </w:tc>
        <w:tc>
          <w:tcPr>
            <w:tcW w:w="1405" w:type="dxa"/>
            <w:hideMark/>
          </w:tcPr>
          <w:p w14:paraId="1EB6D864" w14:textId="0795CE83" w:rsidR="00643B8F" w:rsidRDefault="00484D99" w:rsidP="0048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Subturbinate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43B8F">
              <w:rPr>
                <w:rFonts w:ascii="Times New Roman" w:eastAsia="Times New Roman" w:hAnsi="Times New Roman" w:cs="Times New Roman"/>
                <w:sz w:val="24"/>
                <w:szCs w:val="24"/>
              </w:rPr>
              <w:t>urbinate</w:t>
            </w:r>
            <w:proofErr w:type="spellEnd"/>
          </w:p>
        </w:tc>
        <w:tc>
          <w:tcPr>
            <w:tcW w:w="1609" w:type="dxa"/>
            <w:hideMark/>
          </w:tcPr>
          <w:p w14:paraId="67983AFC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Transversely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ellipsoid</w:t>
            </w:r>
            <w:proofErr w:type="spellEnd"/>
          </w:p>
        </w:tc>
        <w:tc>
          <w:tcPr>
            <w:tcW w:w="1559" w:type="dxa"/>
            <w:hideMark/>
          </w:tcPr>
          <w:p w14:paraId="561BD167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Depressed-globose</w:t>
            </w:r>
            <w:proofErr w:type="spellEnd"/>
          </w:p>
        </w:tc>
        <w:tc>
          <w:tcPr>
            <w:tcW w:w="1405" w:type="dxa"/>
            <w:hideMark/>
          </w:tcPr>
          <w:p w14:paraId="043D3FED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Depressed-globose</w:t>
            </w:r>
            <w:proofErr w:type="spellEnd"/>
          </w:p>
        </w:tc>
      </w:tr>
      <w:tr w:rsidR="00643B8F" w14:paraId="60135FDA" w14:textId="77777777" w:rsidTr="00643B8F">
        <w:tc>
          <w:tcPr>
            <w:tcW w:w="1390" w:type="dxa"/>
            <w:hideMark/>
          </w:tcPr>
          <w:p w14:paraId="31AC3C97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  <w:proofErr w:type="spellEnd"/>
          </w:p>
        </w:tc>
        <w:tc>
          <w:tcPr>
            <w:tcW w:w="1409" w:type="dxa"/>
            <w:hideMark/>
          </w:tcPr>
          <w:p w14:paraId="379D450C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Apocarpous</w:t>
            </w:r>
            <w:proofErr w:type="spellEnd"/>
          </w:p>
        </w:tc>
        <w:tc>
          <w:tcPr>
            <w:tcW w:w="1405" w:type="dxa"/>
            <w:hideMark/>
          </w:tcPr>
          <w:p w14:paraId="276EAF2F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Syncarpous</w:t>
            </w:r>
            <w:proofErr w:type="spellEnd"/>
          </w:p>
        </w:tc>
        <w:tc>
          <w:tcPr>
            <w:tcW w:w="1609" w:type="dxa"/>
            <w:hideMark/>
          </w:tcPr>
          <w:p w14:paraId="5C435F09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Syncarpous</w:t>
            </w:r>
            <w:proofErr w:type="spellEnd"/>
          </w:p>
        </w:tc>
        <w:tc>
          <w:tcPr>
            <w:tcW w:w="1559" w:type="dxa"/>
            <w:hideMark/>
          </w:tcPr>
          <w:p w14:paraId="1FA1C89E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Syncarpous</w:t>
            </w:r>
            <w:proofErr w:type="spellEnd"/>
          </w:p>
        </w:tc>
        <w:tc>
          <w:tcPr>
            <w:tcW w:w="1405" w:type="dxa"/>
            <w:hideMark/>
          </w:tcPr>
          <w:p w14:paraId="1C9A21E7" w14:textId="77777777" w:rsidR="00643B8F" w:rsidRDefault="00643B8F" w:rsidP="005D56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Syncarpous</w:t>
            </w:r>
            <w:proofErr w:type="spellEnd"/>
          </w:p>
        </w:tc>
      </w:tr>
    </w:tbl>
    <w:p w14:paraId="62510C3B" w14:textId="77777777" w:rsidR="00BA309D" w:rsidRDefault="00BA309D" w:rsidP="00643B8F"/>
    <w:p w14:paraId="5A4F0BB3" w14:textId="77777777" w:rsidR="0082455F" w:rsidRDefault="0082455F" w:rsidP="0082455F">
      <w:pPr>
        <w:pStyle w:val="Ttulo3"/>
        <w:spacing w:line="360" w:lineRule="auto"/>
        <w:rPr>
          <w:rFonts w:cs="Times New Roman"/>
          <w:b/>
          <w:i w:val="0"/>
          <w:highlight w:val="white"/>
        </w:rPr>
      </w:pPr>
      <w:r w:rsidRPr="005E1E73">
        <w:rPr>
          <w:rFonts w:cs="Times New Roman"/>
          <w:b/>
          <w:i w:val="0"/>
          <w:highlight w:val="white"/>
        </w:rPr>
        <w:t>Micromorphology study</w:t>
      </w:r>
    </w:p>
    <w:p w14:paraId="2580AAD2" w14:textId="1C9C7493" w:rsidR="00643B8F" w:rsidRPr="00416CC9" w:rsidRDefault="009869AF" w:rsidP="00E02A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glandular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trichomes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type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found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both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on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petioles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sparsely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distributed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on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lower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surface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>leaf-blade</w:t>
      </w:r>
      <w:proofErr w:type="spellEnd"/>
      <w:r w:rsidRPr="005E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(Fig. 3 A–C). </w:t>
      </w:r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Both simple and two-armed </w:t>
      </w:r>
      <w:proofErr w:type="spell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trichomes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were observed only on petioles (Fig. 3 A), whereas stellate-rotate are observed in petiole and vascularization on </w:t>
      </w:r>
      <w:proofErr w:type="spell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abaxial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face (Fig. 3 </w:t>
      </w:r>
      <w:proofErr w:type="gram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</w:t>
      </w:r>
      <w:proofErr w:type="gramEnd"/>
      <w:r w:rsidR="009358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9358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and</w:t>
      </w:r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). Stellate-</w:t>
      </w:r>
      <w:proofErr w:type="spell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multiangulate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trichomes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were observed</w:t>
      </w:r>
      <w:proofErr w:type="gram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only on reproductive structures, on the external surface of the calyx and fruit (Fig. 2 F, Fig 3 D-F). It is important to note that while the </w:t>
      </w:r>
      <w:proofErr w:type="spellStart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trichomes</w:t>
      </w:r>
      <w:proofErr w:type="spellEnd"/>
      <w:r w:rsidR="0082455F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are sparse in most parts of the plants, they are concentrated only in the reprod</w:t>
      </w:r>
      <w:r w:rsidR="00E02AF7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uctive structures (Fig. 3 </w:t>
      </w:r>
      <w:r w:rsidR="0093586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</w:t>
      </w:r>
      <w:r w:rsidR="00E02AF7"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-F).</w:t>
      </w:r>
    </w:p>
    <w:p w14:paraId="43F9082B" w14:textId="77777777" w:rsidR="00935869" w:rsidRDefault="00935869" w:rsidP="00914114">
      <w:pPr>
        <w:tabs>
          <w:tab w:val="left" w:pos="569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5C1B0BAF" w14:textId="77777777" w:rsidR="00962231" w:rsidRPr="005E1E73" w:rsidRDefault="00962231" w:rsidP="00962231">
      <w:pPr>
        <w:pStyle w:val="Ttulo3"/>
        <w:spacing w:line="360" w:lineRule="auto"/>
        <w:rPr>
          <w:rFonts w:cs="Times New Roman"/>
          <w:b/>
          <w:i w:val="0"/>
          <w:highlight w:val="white"/>
        </w:rPr>
      </w:pPr>
      <w:r w:rsidRPr="005E1E73">
        <w:rPr>
          <w:rFonts w:cs="Times New Roman"/>
          <w:b/>
          <w:i w:val="0"/>
          <w:highlight w:val="white"/>
        </w:rPr>
        <w:lastRenderedPageBreak/>
        <w:t>Phylogenetic relationships</w:t>
      </w:r>
    </w:p>
    <w:p w14:paraId="5425F721" w14:textId="77777777" w:rsidR="00643B8F" w:rsidRPr="00416CC9" w:rsidRDefault="00914114" w:rsidP="00914114">
      <w:pPr>
        <w:tabs>
          <w:tab w:val="left" w:pos="5690"/>
        </w:tabs>
        <w:spacing w:after="0" w:line="360" w:lineRule="auto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figure 1-2 below show two tree topology of </w:t>
      </w:r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>Maximum Likelihood (Fig.1) and Bayesian Inference (Fig. 2).</w:t>
      </w:r>
      <w:r w:rsidR="00643B8F" w:rsidRPr="00416CC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4F8699B5" w14:textId="77777777" w:rsidR="00286980" w:rsidRDefault="00286980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86980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91D2013" wp14:editId="5D643F1C">
            <wp:extent cx="5400040" cy="6661929"/>
            <wp:effectExtent l="0" t="0" r="0" b="5715"/>
            <wp:docPr id="1" name="Imagem 1" descr="C:\Users\Barbosa-Silva\OneDrive\ITV\Christiana\revisõ\2 revisao\ML_figure_supp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sa-Silva\OneDrive\ITV\Christiana\revisõ\2 revisao\ML_figure_supp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A418" w14:textId="77777777" w:rsidR="00B54423" w:rsidRPr="00416CC9" w:rsidRDefault="00B54423" w:rsidP="00B54423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16CC9">
        <w:rPr>
          <w:rFonts w:ascii="Times New Roman" w:hAnsi="Times New Roman" w:cs="Times New Roman"/>
          <w:sz w:val="24"/>
          <w:szCs w:val="24"/>
          <w:lang w:val="en-US"/>
        </w:rPr>
        <w:t xml:space="preserve">Figure 1. Resulting from a </w:t>
      </w:r>
      <w:r w:rsidRPr="00416CC9"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Maximum Likelihood </w:t>
      </w:r>
      <w:r w:rsidRPr="00416CC9">
        <w:rPr>
          <w:rFonts w:ascii="Times New Roman" w:hAnsi="Times New Roman" w:cs="Times New Roman"/>
          <w:sz w:val="24"/>
          <w:szCs w:val="24"/>
          <w:lang w:val="en-US"/>
        </w:rPr>
        <w:t>analysis of the combined dataset (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rbc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atp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trn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K-</w:t>
      </w:r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ndh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416CC9">
        <w:rPr>
          <w:rFonts w:ascii="Times New Roman" w:hAnsi="Times New Roman" w:cs="Times New Roman"/>
          <w:sz w:val="24"/>
          <w:szCs w:val="24"/>
          <w:lang w:val="en-US"/>
        </w:rPr>
        <w:t xml:space="preserve"> and ITS2).</w:t>
      </w:r>
    </w:p>
    <w:p w14:paraId="617B29C6" w14:textId="77777777" w:rsidR="00B54423" w:rsidRPr="00416CC9" w:rsidRDefault="00B54423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B544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9D5F694" wp14:editId="50616AB3">
            <wp:extent cx="5446213" cy="7010400"/>
            <wp:effectExtent l="0" t="0" r="2540" b="0"/>
            <wp:docPr id="2" name="Imagem 2" descr="C:\Users\Barbosa-Silva\OneDrive\ITV\Christiana\revisõ\2 revisao\BI_figure_supp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sa-Silva\OneDrive\ITV\Christiana\revisõ\2 revisao\BI_figure_supp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58" cy="70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CC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4CFE70EA" w14:textId="77777777" w:rsidR="00B54423" w:rsidRPr="00416CC9" w:rsidRDefault="00B54423" w:rsidP="00B54423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16CC9">
        <w:rPr>
          <w:rFonts w:ascii="Times New Roman" w:hAnsi="Times New Roman" w:cs="Times New Roman"/>
          <w:sz w:val="24"/>
          <w:szCs w:val="24"/>
          <w:lang w:val="en-US"/>
        </w:rPr>
        <w:t>Figure 2. Resulting from a Bayesian analysis of the combined dataset (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rbc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atp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trn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K-</w:t>
      </w:r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C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ndh</w:t>
      </w:r>
      <w:r w:rsidRPr="00416CC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End"/>
      <w:r w:rsidRPr="00416CC9">
        <w:rPr>
          <w:rFonts w:ascii="Times New Roman" w:hAnsi="Times New Roman" w:cs="Times New Roman"/>
          <w:sz w:val="24"/>
          <w:szCs w:val="24"/>
          <w:lang w:val="en-US"/>
        </w:rPr>
        <w:t xml:space="preserve"> and ITS2).</w:t>
      </w:r>
    </w:p>
    <w:p w14:paraId="583E8EA2" w14:textId="77777777" w:rsidR="00B54423" w:rsidRPr="00416CC9" w:rsidRDefault="00B54423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16CC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72F2BD95" w14:textId="77777777" w:rsidR="00643B8F" w:rsidRPr="00416CC9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416CC9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lastRenderedPageBreak/>
        <w:t>References</w:t>
      </w:r>
    </w:p>
    <w:p w14:paraId="655FEA13" w14:textId="77777777" w:rsidR="00643B8F" w:rsidRPr="00416CC9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Alfaro ME. 2003. Bayes or Bootstrap? A Simulation Study Comparing the Performance of Bayesian Markov Chain Monte Carlo Sampling and Bootstrapping in Assessing Phylogenetic Confidence.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Molecular Biology and Evolution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20:255–266. DOI: 10.1093/</w:t>
      </w: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molbev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/msg028.</w:t>
      </w:r>
    </w:p>
    <w:p w14:paraId="2BA3B8F0" w14:textId="77777777" w:rsidR="00643B8F" w:rsidRPr="00416CC9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Eriksson T. 2001. </w:t>
      </w:r>
      <w:proofErr w:type="spellStart"/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Autodecay</w:t>
      </w:r>
      <w:proofErr w:type="spellEnd"/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 version 5.0. Software program distributed by the author.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Sweden: Bergius Foundation, Royal Swedish Academy of Sciences.</w:t>
      </w:r>
    </w:p>
    <w:p w14:paraId="42FAA774" w14:textId="77777777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Hillis DM, Bull JJ. 1993. An empirical test of bootstrapping as a method for assessing confidence in phylogenetic analysis.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Systematic Biology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42:11.</w:t>
      </w:r>
    </w:p>
    <w:p w14:paraId="48941818" w14:textId="77777777" w:rsidR="001060EA" w:rsidRDefault="001060EA" w:rsidP="001060E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Jansen-Jacobs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LYT. 1983.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Guianas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II. A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Asterophorum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Tiliaceae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Suriname. :377–383.</w:t>
      </w:r>
    </w:p>
    <w:p w14:paraId="24F6E5EF" w14:textId="77777777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Kolaczkowski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B, Thornton JW. 2007. Effects of branch length uncertainty on Bayesian posterior probabilities for phylogenetic hypotheses.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Molecular Biology and Evolution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24:2108–2118. DOI: 10.1093/</w:t>
      </w: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molbev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/msm141.</w:t>
      </w:r>
    </w:p>
    <w:p w14:paraId="785322E1" w14:textId="77777777" w:rsidR="001060EA" w:rsidRPr="003C37C7" w:rsidRDefault="001060EA" w:rsidP="001060E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Kubitzki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1995.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Asterophorum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congeneric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Tiliaceae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286E0F3F" w14:textId="77777777" w:rsidR="001060EA" w:rsidRDefault="001060EA" w:rsidP="001028B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Bot. </w:t>
      </w:r>
      <w:proofErr w:type="spellStart"/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Jahrb</w:t>
      </w:r>
      <w:proofErr w:type="spellEnd"/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</w:t>
      </w:r>
      <w:proofErr w:type="spellEnd"/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37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116(4): 537-542.</w:t>
      </w:r>
    </w:p>
    <w:p w14:paraId="2EDFBEAB" w14:textId="77777777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Miller MA, Pfeiffer W, Schwartz T. 2010. Creating the CIPRES Science Gateway for inference of large phylogenetic trees. In: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2010 Gateway Computing Environments Workshop (GCE)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New Orleans, LA, USA: IEEE, 1–8.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DOI: 10.1109/GCE.2010.5676129.</w:t>
      </w:r>
    </w:p>
    <w:p w14:paraId="58A26C7A" w14:textId="77777777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Oliveira RRM, Nunes GL, de Lima TGL, Oliveira G, Alves R. 2018. 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PIPEBAR and </w:t>
      </w: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OverlapPER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tools for a fast and accurate DNA barcoding analysis and paired-end assembly.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BMC Bioinformatics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19. DOI: 10.1186/s12859-018-2307-y.</w:t>
      </w:r>
    </w:p>
    <w:p w14:paraId="6FF42F58" w14:textId="77777777" w:rsidR="00935869" w:rsidRDefault="00935869" w:rsidP="0093586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Ramalho AJ,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Zappi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DC, Nunes GL, Watanabe MTC, Vasconcelos S, Dias MC,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Jaffé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Prous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X, Giannini TC, Oliveira G,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Giulietti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 2018.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barcoding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fragments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subsidy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conservation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10.3389/fpls.2018.01052:1–10. DOI: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10.3389/fpls.2018.01052.</w:t>
      </w:r>
    </w:p>
    <w:p w14:paraId="6A2873A9" w14:textId="77777777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Rogstad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SH. 1992. Saturated </w:t>
      </w: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-CTAB solution as a means of field preservation of leaves for DNA analyses. </w:t>
      </w:r>
      <w:r w:rsidRPr="0041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Taxon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41:701–708.</w:t>
      </w:r>
    </w:p>
    <w:p w14:paraId="20FEF754" w14:textId="77777777" w:rsidR="001060EA" w:rsidRDefault="001060EA" w:rsidP="001060E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1908.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Kewenses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Plantarum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Novarum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Herbario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Horti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Regii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Conservatarum</w:t>
      </w:r>
      <w:proofErr w:type="spellEnd"/>
      <w:r w:rsidRPr="0098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Decas L.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Bulletin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Miscellaneous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(Royal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Gardens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Kew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1908:249–255. DOI: 10.2307/4111573.</w:t>
      </w:r>
    </w:p>
    <w:p w14:paraId="2A5F319C" w14:textId="77777777" w:rsidR="001060EA" w:rsidRPr="00416CC9" w:rsidRDefault="001060EA" w:rsidP="001028B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CEA1774" w14:textId="4A264AB2" w:rsidR="00643B8F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Stamatakis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A, Ludwig T, Meier H. 2005. </w:t>
      </w:r>
      <w:proofErr w:type="spellStart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RAxML</w:t>
      </w:r>
      <w:proofErr w:type="spellEnd"/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-III: a fast program for maximum likelihood-based inference of large phylogenetic trees. </w:t>
      </w:r>
      <w:proofErr w:type="spellStart"/>
      <w:r w:rsidRPr="004572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Bioinformatics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21:456–463. DOI: 10.1093/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bioinformatics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/bti191.</w:t>
      </w:r>
    </w:p>
    <w:p w14:paraId="50EECA16" w14:textId="77777777" w:rsidR="001060EA" w:rsidRPr="004572C4" w:rsidRDefault="001060EA" w:rsidP="001060E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Toledo JF. 1952.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Notulae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aliquot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plantis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brasiliensibus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novis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vel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>cognitis</w:t>
      </w:r>
      <w:proofErr w:type="spellEnd"/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72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Arquivos de botânica do estado de São Paulo</w:t>
      </w:r>
      <w:r w:rsidRPr="004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3:29–30.</w:t>
      </w:r>
    </w:p>
    <w:p w14:paraId="6CC15BE1" w14:textId="77777777" w:rsidR="001060EA" w:rsidRDefault="001060EA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C7C36" w14:textId="7D8DFA84" w:rsidR="00F87A88" w:rsidRPr="00F87A88" w:rsidRDefault="00F87A88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33A0">
        <w:rPr>
          <w:rFonts w:ascii="Times New Roman" w:eastAsia="Times New Roman" w:hAnsi="Times New Roman" w:cs="Times New Roman"/>
          <w:color w:val="000000"/>
          <w:sz w:val="24"/>
          <w:szCs w:val="24"/>
        </w:rPr>
        <w:t>Tschá</w:t>
      </w:r>
      <w:proofErr w:type="spellEnd"/>
      <w:r w:rsidRPr="00C03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MC, Sales MF, Esteves GL. 2002. </w:t>
      </w:r>
      <w:proofErr w:type="spellStart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>Tiliaceae</w:t>
      </w:r>
      <w:proofErr w:type="spellEnd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>Juss</w:t>
      </w:r>
      <w:proofErr w:type="spellEnd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8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estado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Pernambuco. </w:t>
      </w:r>
      <w:proofErr w:type="spellStart"/>
      <w:r w:rsidRPr="00F87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Hoehnea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29:1</w:t>
      </w:r>
      <w:r w:rsidRPr="00416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14:paraId="2B9276B0" w14:textId="77777777" w:rsidR="00643B8F" w:rsidRPr="00F87A88" w:rsidRDefault="00643B8F" w:rsidP="00643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00499" w14:textId="77777777" w:rsidR="00643B8F" w:rsidRPr="00F87A88" w:rsidRDefault="00643B8F" w:rsidP="00284B70"/>
    <w:sectPr w:rsidR="00643B8F" w:rsidRPr="00F87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C3FBB" w16cex:dateUtc="2021-01-27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DEEE3" w16cid:durableId="23BC3F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0"/>
    <w:rsid w:val="000217EF"/>
    <w:rsid w:val="000521C0"/>
    <w:rsid w:val="00066A8F"/>
    <w:rsid w:val="001028B1"/>
    <w:rsid w:val="001060EA"/>
    <w:rsid w:val="00284B70"/>
    <w:rsid w:val="00286980"/>
    <w:rsid w:val="00286E9C"/>
    <w:rsid w:val="00416CC9"/>
    <w:rsid w:val="00484D99"/>
    <w:rsid w:val="004D096A"/>
    <w:rsid w:val="00643B8F"/>
    <w:rsid w:val="006F41B0"/>
    <w:rsid w:val="0082455F"/>
    <w:rsid w:val="008B5299"/>
    <w:rsid w:val="00914114"/>
    <w:rsid w:val="00935869"/>
    <w:rsid w:val="00962231"/>
    <w:rsid w:val="009869AF"/>
    <w:rsid w:val="00A43F8F"/>
    <w:rsid w:val="00B54423"/>
    <w:rsid w:val="00B55B94"/>
    <w:rsid w:val="00BA309D"/>
    <w:rsid w:val="00C033A0"/>
    <w:rsid w:val="00E02AF7"/>
    <w:rsid w:val="00E06B91"/>
    <w:rsid w:val="00E96A78"/>
    <w:rsid w:val="00EB6780"/>
    <w:rsid w:val="00ED1566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E323"/>
  <w15:chartTrackingRefBased/>
  <w15:docId w15:val="{D79F3C0A-DFAE-4F3C-9DE5-E2D07F2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4B70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i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4B70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4B70"/>
    <w:rPr>
      <w:rFonts w:ascii="Times New Roman" w:eastAsiaTheme="majorEastAsia" w:hAnsi="Times New Roman" w:cstheme="majorBidi"/>
      <w:i/>
      <w:sz w:val="24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16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C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0E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02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hyperlink" Target="mailto:rafa.g29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13</cp:revision>
  <dcterms:created xsi:type="dcterms:W3CDTF">2021-01-25T13:46:00Z</dcterms:created>
  <dcterms:modified xsi:type="dcterms:W3CDTF">2021-07-22T17:35:00Z</dcterms:modified>
</cp:coreProperties>
</file>