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37CB" w14:textId="73F95A1D" w:rsidR="00F022E6" w:rsidRPr="009E4E16" w:rsidRDefault="009E4E16">
      <w:pPr>
        <w:rPr>
          <w:rFonts w:ascii="Times New Roman" w:hAnsi="Times New Roman" w:cs="Times New Roman"/>
          <w:b/>
          <w:bCs/>
        </w:rPr>
      </w:pPr>
      <w:r w:rsidRPr="009E4E16">
        <w:rPr>
          <w:rFonts w:ascii="Times New Roman" w:hAnsi="Times New Roman" w:cs="Times New Roman"/>
          <w:b/>
          <w:bCs/>
        </w:rPr>
        <w:t>The rationale for conducting the systematic review/meta-analysis.</w:t>
      </w:r>
    </w:p>
    <w:p w14:paraId="01468120" w14:textId="7A62DF3C" w:rsidR="009E4E16" w:rsidRPr="00880C15" w:rsidRDefault="009E4E16" w:rsidP="009E4E16">
      <w:pPr>
        <w:widowControl/>
        <w:spacing w:line="360" w:lineRule="auto"/>
        <w:ind w:firstLineChars="150" w:firstLine="300"/>
        <w:jc w:val="left"/>
        <w:rPr>
          <w:rFonts w:ascii="Times New Roman" w:eastAsia="微软雅黑" w:hAnsi="Times New Roman" w:cs="Times New Roman"/>
          <w:color w:val="000000"/>
          <w:kern w:val="0"/>
          <w:sz w:val="20"/>
          <w:szCs w:val="20"/>
        </w:rPr>
      </w:pPr>
      <w:r w:rsidRPr="00880C15">
        <w:rPr>
          <w:rFonts w:ascii="Times New Roman" w:eastAsia="微软雅黑" w:hAnsi="Times New Roman" w:cs="Times New Roman"/>
          <w:color w:val="2C2B2B"/>
          <w:sz w:val="20"/>
          <w:szCs w:val="20"/>
        </w:rPr>
        <w:t xml:space="preserve">Bladder cancer (BC) is the 7th most common cancer in the male population </w:t>
      </w:r>
      <w:r w:rsidRPr="00880C15">
        <w:rPr>
          <w:rFonts w:ascii="Times New Roman" w:eastAsia="微软雅黑" w:hAnsi="Times New Roman" w:cs="Times New Roman"/>
          <w:color w:val="1C1D1E"/>
          <w:sz w:val="20"/>
          <w:szCs w:val="20"/>
          <w:shd w:val="clear" w:color="auto" w:fill="FFFFFF"/>
        </w:rPr>
        <w:t>worldwide</w:t>
      </w:r>
      <w:r w:rsidRPr="00880C15">
        <w:rPr>
          <w:rFonts w:ascii="Times New Roman" w:eastAsia="微软雅黑" w:hAnsi="Times New Roman" w:cs="Times New Roman"/>
          <w:color w:val="2C2B2B"/>
          <w:sz w:val="20"/>
          <w:szCs w:val="20"/>
        </w:rPr>
        <w:t xml:space="preserve">, and its </w:t>
      </w:r>
      <w:r w:rsidRPr="00880C15">
        <w:rPr>
          <w:rFonts w:ascii="Times New Roman" w:eastAsia="微软雅黑" w:hAnsi="Times New Roman" w:cs="Times New Roman"/>
          <w:color w:val="212121"/>
          <w:sz w:val="20"/>
          <w:szCs w:val="20"/>
          <w:shd w:val="clear" w:color="auto" w:fill="FFFFFF"/>
        </w:rPr>
        <w:t>incidence is about four times greater than in women</w:t>
      </w:r>
      <w:r w:rsidRPr="00880C15">
        <w:rPr>
          <w:rFonts w:ascii="Times New Roman" w:eastAsia="微软雅黑" w:hAnsi="Times New Roman" w:cs="Times New Roman"/>
          <w:color w:val="1C1D1E"/>
          <w:sz w:val="20"/>
          <w:szCs w:val="20"/>
          <w:shd w:val="clear" w:color="auto" w:fill="FFFFFF"/>
        </w:rPr>
        <w:t>. The non-muscle invasive BC (NMIBC) accounts for</w:t>
      </w:r>
      <w:r w:rsidRPr="00880C15">
        <w:rPr>
          <w:rFonts w:ascii="Times New Roman" w:eastAsia="微软雅黑" w:hAnsi="Times New Roman" w:cs="Times New Roman"/>
          <w:color w:val="1C1D1E"/>
          <w:sz w:val="20"/>
          <w:szCs w:val="20"/>
        </w:rPr>
        <w:t xml:space="preserve"> about </w:t>
      </w:r>
      <w:r w:rsidRPr="00880C15">
        <w:rPr>
          <w:rFonts w:ascii="Times New Roman" w:eastAsia="微软雅黑" w:hAnsi="Times New Roman" w:cs="Times New Roman"/>
          <w:color w:val="2C2B2B"/>
          <w:sz w:val="20"/>
          <w:szCs w:val="20"/>
        </w:rPr>
        <w:t xml:space="preserve">75%. Approximately 25% of NIMBC are high-risk </w:t>
      </w:r>
      <w:r w:rsidRPr="00880C15">
        <w:rPr>
          <w:rFonts w:ascii="Times New Roman" w:eastAsia="微软雅黑" w:hAnsi="Times New Roman" w:cs="Times New Roman"/>
          <w:color w:val="000000"/>
          <w:sz w:val="20"/>
          <w:szCs w:val="20"/>
        </w:rPr>
        <w:t xml:space="preserve">with poor prognosis, whose </w:t>
      </w:r>
      <w:r w:rsidRPr="00880C15">
        <w:rPr>
          <w:rFonts w:ascii="Times New Roman" w:eastAsia="微软雅黑" w:hAnsi="Times New Roman" w:cs="Times New Roman"/>
          <w:color w:val="000000"/>
          <w:kern w:val="0"/>
          <w:sz w:val="20"/>
          <w:szCs w:val="20"/>
        </w:rPr>
        <w:t>recurrence and progression range from 62 to 78% and 17 to 45% at 5 years, respectively.</w:t>
      </w:r>
    </w:p>
    <w:p w14:paraId="4002F921" w14:textId="7067D465" w:rsidR="009E4E16" w:rsidRDefault="009E4E16" w:rsidP="009E4E16">
      <w:pPr>
        <w:widowControl/>
        <w:spacing w:line="360" w:lineRule="auto"/>
        <w:jc w:val="left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</w:pPr>
      <w:r w:rsidRPr="00880C15">
        <w:rPr>
          <w:rFonts w:ascii="Times New Roman" w:eastAsia="微软雅黑" w:hAnsi="Times New Roman" w:cs="Times New Roman"/>
          <w:color w:val="000000"/>
          <w:kern w:val="0"/>
          <w:sz w:val="20"/>
          <w:szCs w:val="20"/>
        </w:rPr>
        <w:t xml:space="preserve">  </w:t>
      </w:r>
      <w:r>
        <w:rPr>
          <w:rFonts w:ascii="Times New Roman" w:eastAsia="微软雅黑" w:hAnsi="Times New Roman" w:cs="Times New Roman"/>
          <w:color w:val="000000"/>
          <w:kern w:val="0"/>
          <w:sz w:val="20"/>
          <w:szCs w:val="20"/>
        </w:rPr>
        <w:t xml:space="preserve"> </w:t>
      </w:r>
      <w:r w:rsidRPr="00880C15">
        <w:rPr>
          <w:rFonts w:ascii="Times New Roman" w:eastAsia="微软雅黑" w:hAnsi="Times New Roman" w:cs="Times New Roman"/>
          <w:color w:val="000000"/>
          <w:kern w:val="0"/>
          <w:sz w:val="20"/>
          <w:szCs w:val="20"/>
        </w:rPr>
        <w:t xml:space="preserve">At present, both </w:t>
      </w:r>
      <w:r w:rsidRPr="00880C15">
        <w:rPr>
          <w:rFonts w:ascii="Times New Roman" w:hAnsi="Times New Roman" w:cs="Times New Roman"/>
          <w:color w:val="000000"/>
          <w:sz w:val="20"/>
          <w:szCs w:val="20"/>
        </w:rPr>
        <w:t xml:space="preserve">bladder-preserving therapy and cystectomy are commended for </w:t>
      </w:r>
      <w:r w:rsidRPr="00880C15">
        <w:rPr>
          <w:rFonts w:ascii="Times New Roman" w:eastAsia="微软雅黑" w:hAnsi="Times New Roman" w:cs="Times New Roman"/>
          <w:color w:val="000000"/>
          <w:sz w:val="20"/>
          <w:szCs w:val="20"/>
        </w:rPr>
        <w:t>high</w:t>
      </w:r>
      <w:r w:rsidRPr="00880C15">
        <w:rPr>
          <w:rFonts w:ascii="Times New Roman" w:eastAsia="微软雅黑" w:hAnsi="Times New Roman" w:cs="Times New Roman"/>
          <w:color w:val="000000"/>
          <w:sz w:val="20"/>
          <w:szCs w:val="20"/>
        </w:rPr>
        <w:noBreakHyphen/>
        <w:t xml:space="preserve">risk NMIBC. However, </w:t>
      </w:r>
      <w:r w:rsidRPr="00880C15">
        <w:rPr>
          <w:rFonts w:ascii="Times New Roman" w:hAnsi="Times New Roman" w:cs="Times New Roman"/>
          <w:color w:val="000000"/>
          <w:sz w:val="20"/>
          <w:szCs w:val="20"/>
        </w:rPr>
        <w:t>the cystectomy</w:t>
      </w:r>
      <w:r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considered an excessive treatment and decreased the quality of life. On the other hand, the</w:t>
      </w:r>
      <w:r w:rsidRPr="00880C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0C15">
        <w:rPr>
          <w:rFonts w:ascii="Times New Roman" w:hAnsi="Times New Roman" w:cs="Times New Roman"/>
          <w:color w:val="2C2B2B"/>
          <w:sz w:val="20"/>
          <w:szCs w:val="20"/>
        </w:rPr>
        <w:t xml:space="preserve">adjuvant intravesical therapy </w:t>
      </w:r>
      <w:r w:rsidRPr="00880C15">
        <w:rPr>
          <w:rFonts w:ascii="Times New Roman" w:hAnsi="Times New Roman" w:cs="Times New Roman"/>
          <w:color w:val="000000"/>
          <w:sz w:val="20"/>
          <w:szCs w:val="20"/>
        </w:rPr>
        <w:t xml:space="preserve">remains highly controversial because of its prognosis. Therefore, </w:t>
      </w:r>
      <w:bookmarkStart w:id="0" w:name="_Hlk56974225"/>
      <w:r w:rsidRPr="00880C15">
        <w:rPr>
          <w:rFonts w:ascii="Times New Roman" w:eastAsia="微软雅黑" w:hAnsi="Times New Roman" w:cs="Times New Roman"/>
          <w:sz w:val="20"/>
          <w:szCs w:val="20"/>
        </w:rPr>
        <w:t>intra-arterial chemotherapy</w:t>
      </w:r>
      <w:bookmarkEnd w:id="0"/>
      <w:r w:rsidRPr="00880C15">
        <w:rPr>
          <w:rFonts w:ascii="Times New Roman" w:eastAsia="微软雅黑" w:hAnsi="Times New Roman" w:cs="Times New Roman"/>
          <w:sz w:val="20"/>
          <w:szCs w:val="20"/>
        </w:rPr>
        <w:t xml:space="preserve"> (IAC) is </w:t>
      </w:r>
      <w:r w:rsidRPr="00880C15">
        <w:rPr>
          <w:rFonts w:ascii="Times New Roman" w:eastAsia="微软雅黑" w:hAnsi="Times New Roman" w:cs="Times New Roman"/>
          <w:color w:val="000000"/>
          <w:sz w:val="20"/>
          <w:szCs w:val="20"/>
          <w:shd w:val="clear" w:color="auto" w:fill="FFFFFF"/>
        </w:rPr>
        <w:t>discussed widely. What’s more, some</w:t>
      </w:r>
      <w:r w:rsidRPr="00880C15">
        <w:rPr>
          <w:rFonts w:ascii="Times New Roman" w:hAnsi="Times New Roman" w:cs="Times New Roman"/>
          <w:color w:val="000000"/>
          <w:sz w:val="20"/>
          <w:szCs w:val="20"/>
        </w:rPr>
        <w:t xml:space="preserve"> previous studies have suggested</w:t>
      </w:r>
      <w:r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that IAC reduced the recurrence and progression of NIMBC comparing with </w:t>
      </w:r>
      <w:bookmarkStart w:id="1" w:name="_Hlk56974239"/>
      <w:r w:rsidRPr="00880C15">
        <w:rPr>
          <w:rFonts w:ascii="Times New Roman" w:hAnsi="Times New Roman" w:cs="Times New Roman"/>
          <w:color w:val="2C2B2B"/>
          <w:sz w:val="20"/>
          <w:szCs w:val="20"/>
        </w:rPr>
        <w:t xml:space="preserve">intravesical </w:t>
      </w:r>
      <w:r w:rsidRPr="00880C15">
        <w:rPr>
          <w:rFonts w:ascii="Times New Roman" w:eastAsia="微软雅黑" w:hAnsi="Times New Roman" w:cs="Times New Roman"/>
          <w:sz w:val="20"/>
          <w:szCs w:val="20"/>
        </w:rPr>
        <w:t>chemotherapy</w:t>
      </w:r>
      <w:bookmarkEnd w:id="1"/>
      <w:r w:rsidRPr="00880C15">
        <w:rPr>
          <w:rFonts w:ascii="Times New Roman" w:eastAsia="微软雅黑" w:hAnsi="Times New Roman" w:cs="Times New Roman"/>
          <w:sz w:val="20"/>
          <w:szCs w:val="20"/>
        </w:rPr>
        <w:t xml:space="preserve"> (IVC)</w:t>
      </w:r>
      <w:r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.</w:t>
      </w:r>
      <w:r w:rsidRPr="00880C15">
        <w:rPr>
          <w:rFonts w:ascii="Times New Roman" w:eastAsiaTheme="minorHAnsi" w:hAnsi="Times New Roman" w:cs="Times New Roman"/>
          <w:color w:val="231F20"/>
          <w:kern w:val="0"/>
          <w:sz w:val="20"/>
          <w:szCs w:val="20"/>
        </w:rPr>
        <w:t xml:space="preserve"> Hence, </w:t>
      </w:r>
      <w:r w:rsidRPr="00880C15"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  <w:t>we performed a systematic review and meta-analysis to</w:t>
      </w:r>
      <w:r w:rsidRPr="00880C15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</w:t>
      </w:r>
      <w:r w:rsidRPr="00880C15"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  <w:t xml:space="preserve">discuss the </w:t>
      </w:r>
      <w:r w:rsidRPr="00880C15">
        <w:rPr>
          <w:rFonts w:ascii="Times New Roman" w:hAnsi="Times New Roman" w:cs="Times New Roman"/>
          <w:color w:val="000000"/>
          <w:sz w:val="20"/>
          <w:szCs w:val="20"/>
        </w:rPr>
        <w:t>effectiveness</w:t>
      </w:r>
      <w:r w:rsidRPr="00880C15"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  <w:t xml:space="preserve"> of </w:t>
      </w:r>
      <w:r w:rsidRPr="00880C15">
        <w:rPr>
          <w:rFonts w:ascii="Times New Roman" w:eastAsia="微软雅黑" w:hAnsi="Times New Roman" w:cs="Times New Roman"/>
          <w:sz w:val="20"/>
          <w:szCs w:val="20"/>
        </w:rPr>
        <w:t>intra-arterial chemotherapy</w:t>
      </w:r>
      <w:r w:rsidRPr="00880C15"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  <w:t xml:space="preserve"> in patients with </w:t>
      </w:r>
      <w:r w:rsidRPr="00880C15">
        <w:rPr>
          <w:rFonts w:ascii="Times New Roman" w:eastAsia="微软雅黑" w:hAnsi="Times New Roman" w:cs="Times New Roman"/>
          <w:color w:val="000000"/>
          <w:sz w:val="20"/>
          <w:szCs w:val="20"/>
        </w:rPr>
        <w:t>high</w:t>
      </w:r>
      <w:r w:rsidRPr="00880C15">
        <w:rPr>
          <w:rFonts w:ascii="Times New Roman" w:eastAsia="微软雅黑" w:hAnsi="Times New Roman" w:cs="Times New Roman"/>
          <w:color w:val="000000"/>
          <w:sz w:val="20"/>
          <w:szCs w:val="20"/>
        </w:rPr>
        <w:noBreakHyphen/>
        <w:t>risk NMIBC</w:t>
      </w:r>
      <w:r w:rsidRPr="00880C15"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  <w:t>.</w:t>
      </w:r>
    </w:p>
    <w:p w14:paraId="742AC09C" w14:textId="286832AA" w:rsidR="009E4E16" w:rsidRPr="009E4E16" w:rsidRDefault="009E4E16" w:rsidP="009E4E16">
      <w:pPr>
        <w:pStyle w:val="Normal1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  <w:r w:rsidRPr="009E4E16">
        <w:rPr>
          <w:rFonts w:ascii="Times New Roman" w:hAnsi="Times New Roman" w:cs="Times New Roman"/>
          <w:b/>
          <w:bCs/>
          <w:color w:val="333333"/>
          <w:sz w:val="21"/>
          <w:szCs w:val="21"/>
          <w:lang w:val="id-ID"/>
        </w:rPr>
        <w:t>The contribution</w:t>
      </w:r>
      <w:r w:rsidRPr="009E4E16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that the </w:t>
      </w:r>
      <w:r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it </w:t>
      </w:r>
      <w:r w:rsidRPr="009E4E16">
        <w:rPr>
          <w:rFonts w:ascii="Times New Roman" w:hAnsi="Times New Roman" w:cs="Times New Roman"/>
          <w:b/>
          <w:bCs/>
          <w:color w:val="333333"/>
          <w:sz w:val="21"/>
          <w:szCs w:val="21"/>
        </w:rPr>
        <w:t>makes to knowledge in light of previously published related reports, including other meta-analyses and systematic reviews</w:t>
      </w:r>
      <w:r>
        <w:rPr>
          <w:rFonts w:ascii="Times New Roman" w:hAnsi="Times New Roman" w:cs="Times New Roman"/>
          <w:b/>
          <w:bCs/>
          <w:color w:val="333333"/>
          <w:sz w:val="21"/>
          <w:szCs w:val="21"/>
        </w:rPr>
        <w:t>.</w:t>
      </w:r>
    </w:p>
    <w:p w14:paraId="13B8CD8F" w14:textId="77777777" w:rsidR="009571C9" w:rsidRDefault="009E4E16" w:rsidP="009E4E1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880C15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At present, IVC with </w:t>
      </w:r>
      <w:proofErr w:type="spellStart"/>
      <w:r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Bacille</w:t>
      </w:r>
      <w:proofErr w:type="spellEnd"/>
      <w:r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Calmette–</w:t>
      </w:r>
      <w:proofErr w:type="gramStart"/>
      <w:r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Guerin(</w:t>
      </w:r>
      <w:proofErr w:type="gramEnd"/>
      <w:r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BCG) is widely accepted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for </w:t>
      </w:r>
      <w:r w:rsidRPr="00880C15">
        <w:rPr>
          <w:rFonts w:ascii="Times New Roman" w:eastAsia="微软雅黑" w:hAnsi="Times New Roman" w:cs="Times New Roman"/>
          <w:color w:val="000000"/>
          <w:sz w:val="20"/>
          <w:szCs w:val="20"/>
        </w:rPr>
        <w:t>high</w:t>
      </w:r>
      <w:r w:rsidRPr="00880C15">
        <w:rPr>
          <w:rFonts w:ascii="Times New Roman" w:eastAsia="微软雅黑" w:hAnsi="Times New Roman" w:cs="Times New Roman"/>
          <w:color w:val="000000"/>
          <w:sz w:val="20"/>
          <w:szCs w:val="20"/>
        </w:rPr>
        <w:noBreakHyphen/>
        <w:t>risk NMIBC</w:t>
      </w:r>
      <w:r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. However, fewer than half completed the cycle of full-dose BCG treatment because of adverse complications. The IAC had received attention because of higher chemotherapy concentration in the bladder and lower systemic toxicity compared with intravenous chemotherapy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. </w:t>
      </w:r>
    </w:p>
    <w:p w14:paraId="756541BE" w14:textId="44D871AD" w:rsidR="009571C9" w:rsidRPr="009571C9" w:rsidRDefault="009E4E16" w:rsidP="009E4E16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  <w:t xml:space="preserve">In our study, </w:t>
      </w:r>
      <w:r>
        <w:rPr>
          <w:rFonts w:ascii="Times New Roman" w:eastAsiaTheme="minorHAnsi" w:hAnsi="Times New Roman" w:cs="Times New Roman"/>
          <w:sz w:val="20"/>
          <w:szCs w:val="20"/>
        </w:rPr>
        <w:t>a</w:t>
      </w:r>
      <w:r w:rsidRPr="00880C15">
        <w:rPr>
          <w:rFonts w:ascii="Times New Roman" w:eastAsiaTheme="minorHAnsi" w:hAnsi="Times New Roman" w:cs="Times New Roman"/>
          <w:sz w:val="20"/>
          <w:szCs w:val="20"/>
        </w:rPr>
        <w:t xml:space="preserve"> total of </w:t>
      </w:r>
      <w:r w:rsidRPr="00880C15">
        <w:rPr>
          <w:rFonts w:ascii="Times New Roman" w:eastAsiaTheme="minorHAnsi" w:hAnsi="Times New Roman" w:cs="Times New Roman"/>
          <w:color w:val="231F20"/>
          <w:sz w:val="20"/>
          <w:szCs w:val="20"/>
        </w:rPr>
        <w:t>6 studies with 866 patients were included</w:t>
      </w:r>
      <w:r>
        <w:rPr>
          <w:rFonts w:ascii="Times New Roman" w:eastAsiaTheme="minorHAnsi" w:hAnsi="Times New Roman" w:cs="Times New Roman"/>
          <w:color w:val="231F20"/>
          <w:sz w:val="20"/>
          <w:szCs w:val="20"/>
        </w:rPr>
        <w:t>.</w:t>
      </w:r>
      <w:r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</w:t>
      </w:r>
      <w:r w:rsidR="009571C9">
        <w:rPr>
          <w:rFonts w:ascii="Times New Roman" w:eastAsiaTheme="minorHAnsi" w:hAnsi="Times New Roman" w:cs="Times New Roman"/>
          <w:color w:val="231F20"/>
          <w:sz w:val="20"/>
          <w:szCs w:val="20"/>
        </w:rPr>
        <w:t>O</w:t>
      </w:r>
      <w:r w:rsidR="009571C9" w:rsidRPr="00880C15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ur </w:t>
      </w:r>
      <w:r w:rsidR="009571C9" w:rsidRPr="00880C15"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  <w:t>systematic review and meta-analysis</w:t>
      </w:r>
      <w:r w:rsidR="009571C9" w:rsidRPr="00880C15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</w:t>
      </w:r>
      <w:proofErr w:type="gramStart"/>
      <w:r w:rsidR="009571C9" w:rsidRPr="00880C15"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  <w:t>indicates</w:t>
      </w:r>
      <w:proofErr w:type="gramEnd"/>
      <w:r w:rsidR="009571C9" w:rsidRPr="00880C15"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  <w:t xml:space="preserve"> that the IAC combined with IVC is </w:t>
      </w:r>
      <w:r w:rsidR="009571C9" w:rsidRPr="00880C15">
        <w:rPr>
          <w:rFonts w:ascii="Times New Roman" w:eastAsiaTheme="minorHAnsi" w:hAnsi="Times New Roman" w:cs="Times New Roman"/>
          <w:color w:val="231F20"/>
          <w:sz w:val="20"/>
          <w:szCs w:val="20"/>
        </w:rPr>
        <w:t xml:space="preserve">a safe and </w:t>
      </w:r>
      <w:r w:rsidR="009571C9" w:rsidRPr="00880C15">
        <w:rPr>
          <w:rFonts w:ascii="Times New Roman" w:hAnsi="Times New Roman" w:cs="Times New Roman"/>
          <w:color w:val="000000"/>
          <w:sz w:val="20"/>
          <w:szCs w:val="20"/>
        </w:rPr>
        <w:t xml:space="preserve">effective treatment for </w:t>
      </w:r>
      <w:r w:rsidR="009571C9" w:rsidRPr="00880C15">
        <w:rPr>
          <w:rFonts w:ascii="Times New Roman" w:eastAsia="微软雅黑" w:hAnsi="Times New Roman" w:cs="Times New Roman"/>
          <w:color w:val="000000"/>
          <w:sz w:val="20"/>
          <w:szCs w:val="20"/>
        </w:rPr>
        <w:t>high</w:t>
      </w:r>
      <w:r w:rsidR="009571C9" w:rsidRPr="00880C15">
        <w:rPr>
          <w:rFonts w:ascii="Times New Roman" w:eastAsia="微软雅黑" w:hAnsi="Times New Roman" w:cs="Times New Roman"/>
          <w:color w:val="000000"/>
          <w:sz w:val="20"/>
          <w:szCs w:val="20"/>
        </w:rPr>
        <w:noBreakHyphen/>
        <w:t>risk NMIBC</w:t>
      </w:r>
      <w:r w:rsidR="009571C9" w:rsidRPr="00880C15">
        <w:rPr>
          <w:rFonts w:ascii="Times New Roman" w:eastAsiaTheme="minorHAnsi" w:hAnsi="Times New Roman" w:cs="Times New Roman"/>
          <w:color w:val="000000"/>
          <w:kern w:val="0"/>
          <w:sz w:val="20"/>
          <w:szCs w:val="20"/>
        </w:rPr>
        <w:t xml:space="preserve">, with lower rates of </w:t>
      </w:r>
      <w:r w:rsidR="009571C9" w:rsidRPr="00880C15">
        <w:rPr>
          <w:rFonts w:ascii="Times New Roman" w:hAnsi="Times New Roman" w:cs="Times New Roman"/>
          <w:color w:val="000000"/>
          <w:sz w:val="20"/>
          <w:szCs w:val="20"/>
        </w:rPr>
        <w:t>recurrence, progression, tumor-specific death, PFS and RFS, and with minor and tolerable events. And the effectiveness of the IAC alone is parallel to the IVC alone.</w:t>
      </w:r>
      <w:r w:rsidR="009571C9"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However, further quality studies are needed to evaluate its </w:t>
      </w:r>
      <w:r w:rsidR="009571C9" w:rsidRPr="00880C15">
        <w:rPr>
          <w:rFonts w:ascii="Times New Roman" w:hAnsi="Times New Roman" w:cs="Times New Roman"/>
          <w:color w:val="000000"/>
          <w:sz w:val="20"/>
          <w:szCs w:val="20"/>
        </w:rPr>
        <w:t xml:space="preserve">effectiveness due to </w:t>
      </w:r>
      <w:r w:rsidR="009571C9" w:rsidRPr="00880C1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low quality of evidence.</w:t>
      </w:r>
    </w:p>
    <w:sectPr w:rsidR="009571C9" w:rsidRPr="0095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16"/>
    <w:rsid w:val="009571C9"/>
    <w:rsid w:val="009E4E16"/>
    <w:rsid w:val="00F0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A0EA"/>
  <w15:chartTrackingRefBased/>
  <w15:docId w15:val="{51AEF7CD-6626-4BCF-9553-85B9D8E0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E4E16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 成宇</dc:creator>
  <cp:keywords/>
  <dc:description/>
  <cp:lastModifiedBy>游 成宇</cp:lastModifiedBy>
  <cp:revision>1</cp:revision>
  <dcterms:created xsi:type="dcterms:W3CDTF">2021-05-19T14:26:00Z</dcterms:created>
  <dcterms:modified xsi:type="dcterms:W3CDTF">2021-05-19T14:47:00Z</dcterms:modified>
</cp:coreProperties>
</file>