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EB" w:rsidRDefault="00755CEB" w:rsidP="00755CEB">
      <w:pPr>
        <w:spacing w:after="100" w:afterAutospacing="1" w:line="360" w:lineRule="auto"/>
        <w:rPr>
          <w:rFonts w:cs="Calibri"/>
          <w:b/>
          <w:sz w:val="28"/>
          <w:lang w:val="en-GB"/>
        </w:rPr>
      </w:pPr>
      <w:r>
        <w:rPr>
          <w:rFonts w:cs="Calibri"/>
          <w:b/>
          <w:sz w:val="28"/>
          <w:lang w:val="en-GB"/>
        </w:rPr>
        <w:t>Supplementary File 1</w:t>
      </w:r>
    </w:p>
    <w:p w:rsidR="00755CEB" w:rsidRDefault="00755CEB" w:rsidP="00755CEB">
      <w:pPr>
        <w:spacing w:after="100" w:afterAutospacing="1" w:line="360" w:lineRule="auto"/>
        <w:rPr>
          <w:rFonts w:cs="Calibri"/>
          <w:b/>
          <w:sz w:val="28"/>
          <w:lang w:val="en-GB"/>
        </w:rPr>
      </w:pPr>
    </w:p>
    <w:p w:rsidR="00755CEB" w:rsidRPr="00FD01AF" w:rsidRDefault="00755CEB" w:rsidP="00755CEB">
      <w:pPr>
        <w:spacing w:after="100" w:afterAutospacing="1" w:line="360" w:lineRule="auto"/>
        <w:rPr>
          <w:rFonts w:cs="Calibri"/>
          <w:b/>
          <w:sz w:val="28"/>
          <w:lang w:val="en-GB"/>
        </w:rPr>
      </w:pPr>
      <w:r w:rsidRPr="00FD01AF">
        <w:rPr>
          <w:rFonts w:cs="Calibri"/>
          <w:b/>
          <w:sz w:val="28"/>
          <w:lang w:val="en-GB"/>
        </w:rPr>
        <w:t>Urbanization processes drive divergence at the Major Histocompatibility Complex in a common waterbird</w:t>
      </w:r>
    </w:p>
    <w:p w:rsidR="00755CEB" w:rsidRPr="00FD01AF" w:rsidRDefault="00755CEB" w:rsidP="00755CEB">
      <w:pPr>
        <w:spacing w:after="100" w:afterAutospacing="1" w:line="360" w:lineRule="auto"/>
        <w:rPr>
          <w:rFonts w:cs="Calibri"/>
          <w:b/>
          <w:sz w:val="28"/>
          <w:lang w:val="en-GB"/>
        </w:rPr>
      </w:pPr>
    </w:p>
    <w:p w:rsidR="00755CEB" w:rsidRPr="00FD01AF" w:rsidRDefault="00755CEB" w:rsidP="00755CEB">
      <w:pPr>
        <w:spacing w:after="100" w:afterAutospacing="1" w:line="360" w:lineRule="auto"/>
        <w:rPr>
          <w:rFonts w:cs="Calibri"/>
          <w:b/>
          <w:sz w:val="24"/>
        </w:rPr>
      </w:pPr>
      <w:r w:rsidRPr="00FD01AF">
        <w:rPr>
          <w:rFonts w:cs="Calibri"/>
          <w:b/>
          <w:sz w:val="24"/>
        </w:rPr>
        <w:t>Ewa Pikus</w:t>
      </w:r>
      <w:r w:rsidRPr="00FD01AF">
        <w:rPr>
          <w:rFonts w:cs="Calibri"/>
          <w:b/>
          <w:sz w:val="24"/>
          <w:vertAlign w:val="superscript"/>
        </w:rPr>
        <w:t>1</w:t>
      </w:r>
      <w:r w:rsidRPr="00FD01AF">
        <w:rPr>
          <w:rFonts w:cs="Calibri"/>
          <w:b/>
          <w:sz w:val="24"/>
        </w:rPr>
        <w:t>, Radosław Włodarczyk</w:t>
      </w:r>
      <w:r w:rsidRPr="00FD01AF">
        <w:rPr>
          <w:rFonts w:cs="Calibri"/>
          <w:b/>
          <w:sz w:val="24"/>
          <w:vertAlign w:val="superscript"/>
        </w:rPr>
        <w:t>1</w:t>
      </w:r>
      <w:r w:rsidRPr="00FD01AF">
        <w:rPr>
          <w:rFonts w:cs="Calibri"/>
          <w:b/>
          <w:sz w:val="24"/>
        </w:rPr>
        <w:t>, Jan Jedlikowski</w:t>
      </w:r>
      <w:r w:rsidRPr="00FD01AF">
        <w:rPr>
          <w:rFonts w:cs="Calibri"/>
          <w:b/>
          <w:sz w:val="24"/>
          <w:vertAlign w:val="superscript"/>
        </w:rPr>
        <w:t>2</w:t>
      </w:r>
      <w:r w:rsidRPr="00FD01AF">
        <w:rPr>
          <w:rFonts w:cs="Calibri"/>
          <w:b/>
          <w:sz w:val="24"/>
        </w:rPr>
        <w:t>, Piotr Minias</w:t>
      </w:r>
      <w:r w:rsidRPr="00FD01AF">
        <w:rPr>
          <w:rFonts w:cs="Calibri"/>
          <w:b/>
          <w:sz w:val="24"/>
          <w:vertAlign w:val="superscript"/>
        </w:rPr>
        <w:t>1</w:t>
      </w:r>
    </w:p>
    <w:p w:rsidR="006B14E3" w:rsidRDefault="006B14E3"/>
    <w:p w:rsidR="00755CEB" w:rsidRPr="00FD01AF" w:rsidRDefault="00755CEB" w:rsidP="00755CEB">
      <w:pPr>
        <w:spacing w:after="100" w:afterAutospacing="1" w:line="240" w:lineRule="auto"/>
        <w:rPr>
          <w:rFonts w:cs="Calibri"/>
          <w:lang w:val="en-GB"/>
        </w:rPr>
      </w:pPr>
      <w:r w:rsidRPr="00FD01AF">
        <w:rPr>
          <w:rFonts w:cs="Calibri"/>
          <w:vertAlign w:val="superscript"/>
          <w:lang w:val="en-GB"/>
        </w:rPr>
        <w:t>1</w:t>
      </w:r>
      <w:r w:rsidRPr="00FD01AF">
        <w:rPr>
          <w:rFonts w:cs="Calibri"/>
          <w:lang w:val="en-GB"/>
        </w:rPr>
        <w:t xml:space="preserve"> Department of Biodiversity Studies and </w:t>
      </w:r>
      <w:proofErr w:type="spellStart"/>
      <w:r w:rsidRPr="00FD01AF">
        <w:rPr>
          <w:rFonts w:cs="Calibri"/>
          <w:lang w:val="en-GB"/>
        </w:rPr>
        <w:t>Bioeducation</w:t>
      </w:r>
      <w:proofErr w:type="spellEnd"/>
      <w:r w:rsidRPr="00FD01AF">
        <w:rPr>
          <w:rFonts w:cs="Calibri"/>
          <w:lang w:val="en-GB"/>
        </w:rPr>
        <w:t xml:space="preserve">, Faculty of Biology and Environmental Protection, University of Łódź, </w:t>
      </w:r>
      <w:proofErr w:type="spellStart"/>
      <w:r w:rsidRPr="00FD01AF">
        <w:rPr>
          <w:rFonts w:cs="Calibri"/>
          <w:lang w:val="en-GB"/>
        </w:rPr>
        <w:t>Banacha</w:t>
      </w:r>
      <w:proofErr w:type="spellEnd"/>
      <w:r w:rsidRPr="00FD01AF">
        <w:rPr>
          <w:rFonts w:cs="Calibri"/>
          <w:lang w:val="en-GB"/>
        </w:rPr>
        <w:t xml:space="preserve"> 1/3, 90-237 Łódź, Poland</w:t>
      </w:r>
    </w:p>
    <w:p w:rsidR="00755CEB" w:rsidRPr="00FD01AF" w:rsidRDefault="00755CEB" w:rsidP="00755CEB">
      <w:pPr>
        <w:spacing w:after="100" w:afterAutospacing="1" w:line="240" w:lineRule="auto"/>
        <w:rPr>
          <w:rFonts w:cs="Calibri"/>
          <w:lang w:val="en-GB"/>
        </w:rPr>
      </w:pPr>
      <w:r w:rsidRPr="00FD01AF">
        <w:rPr>
          <w:rFonts w:cs="Calibri"/>
          <w:vertAlign w:val="superscript"/>
          <w:lang w:val="en-GB"/>
        </w:rPr>
        <w:t>2</w:t>
      </w:r>
      <w:r w:rsidRPr="00FD01AF">
        <w:rPr>
          <w:rFonts w:cs="Calibri"/>
          <w:lang w:val="en-GB"/>
        </w:rPr>
        <w:t xml:space="preserve"> Faculty of Biology, Biological and Chemical Research Centre, University of Warsaw, </w:t>
      </w:r>
      <w:proofErr w:type="spellStart"/>
      <w:r w:rsidRPr="00FD01AF">
        <w:rPr>
          <w:rFonts w:cs="Calibri"/>
          <w:lang w:val="en-GB"/>
        </w:rPr>
        <w:t>Żwirki</w:t>
      </w:r>
      <w:proofErr w:type="spellEnd"/>
      <w:r w:rsidRPr="00FD01AF">
        <w:rPr>
          <w:rFonts w:cs="Calibri"/>
          <w:lang w:val="en-GB"/>
        </w:rPr>
        <w:t xml:space="preserve"> </w:t>
      </w:r>
      <w:proofErr w:type="spellStart"/>
      <w:r w:rsidRPr="00FD01AF">
        <w:rPr>
          <w:rFonts w:cs="Calibri"/>
          <w:lang w:val="en-GB"/>
        </w:rPr>
        <w:t>i</w:t>
      </w:r>
      <w:proofErr w:type="spellEnd"/>
      <w:r w:rsidRPr="00FD01AF">
        <w:rPr>
          <w:rFonts w:cs="Calibri"/>
          <w:lang w:val="en-GB"/>
        </w:rPr>
        <w:t xml:space="preserve"> </w:t>
      </w:r>
      <w:proofErr w:type="spellStart"/>
      <w:r w:rsidRPr="00FD01AF">
        <w:rPr>
          <w:rFonts w:cs="Calibri"/>
          <w:lang w:val="en-GB"/>
        </w:rPr>
        <w:t>Wigury</w:t>
      </w:r>
      <w:proofErr w:type="spellEnd"/>
      <w:r w:rsidRPr="00FD01AF">
        <w:rPr>
          <w:rFonts w:cs="Calibri"/>
          <w:lang w:val="en-GB"/>
        </w:rPr>
        <w:t xml:space="preserve"> 101, 02-089 Warsaw, Poland</w:t>
      </w:r>
    </w:p>
    <w:p w:rsidR="00755CEB" w:rsidRPr="00FD01AF" w:rsidRDefault="00755CEB" w:rsidP="00755CEB">
      <w:pPr>
        <w:spacing w:after="100" w:afterAutospacing="1" w:line="240" w:lineRule="auto"/>
        <w:rPr>
          <w:rFonts w:cs="Calibri"/>
          <w:lang w:val="en-GB"/>
        </w:rPr>
      </w:pPr>
    </w:p>
    <w:p w:rsidR="00755CEB" w:rsidRPr="00FD01AF" w:rsidRDefault="00755CEB" w:rsidP="00755CEB">
      <w:pPr>
        <w:spacing w:after="100" w:afterAutospacing="1" w:line="240" w:lineRule="auto"/>
        <w:rPr>
          <w:rFonts w:cs="Calibri"/>
          <w:lang w:val="en-GB"/>
        </w:rPr>
      </w:pPr>
      <w:r w:rsidRPr="00FD01AF">
        <w:rPr>
          <w:rFonts w:cs="Calibri"/>
          <w:lang w:val="en-GB"/>
        </w:rPr>
        <w:t>Corresponding author:</w:t>
      </w:r>
    </w:p>
    <w:p w:rsidR="00755CEB" w:rsidRPr="00755CEB" w:rsidRDefault="00755CEB" w:rsidP="00755CEB">
      <w:pPr>
        <w:rPr>
          <w:rFonts w:cs="Calibri"/>
        </w:rPr>
      </w:pPr>
      <w:r w:rsidRPr="00755CEB">
        <w:rPr>
          <w:rFonts w:cs="Calibri"/>
        </w:rPr>
        <w:t xml:space="preserve">Piotr Minias, </w:t>
      </w:r>
      <w:r w:rsidRPr="00755CEB">
        <w:rPr>
          <w:rFonts w:cs="Calibri"/>
        </w:rPr>
        <w:t>pminias@op.pl</w:t>
      </w:r>
    </w:p>
    <w:p w:rsidR="00755CEB" w:rsidRPr="00755CEB" w:rsidRDefault="00755CEB">
      <w:pPr>
        <w:rPr>
          <w:rFonts w:cs="Calibri"/>
        </w:rPr>
      </w:pPr>
      <w:r w:rsidRPr="00755CEB">
        <w:rPr>
          <w:rFonts w:cs="Calibri"/>
        </w:rPr>
        <w:br w:type="page"/>
      </w:r>
    </w:p>
    <w:p w:rsidR="00755CEB" w:rsidRPr="00E25944" w:rsidRDefault="00755CEB" w:rsidP="00755CEB">
      <w:pPr>
        <w:suppressLineNumbers/>
        <w:spacing w:line="360" w:lineRule="auto"/>
        <w:rPr>
          <w:lang w:val="en-GB"/>
        </w:rPr>
      </w:pPr>
      <w:r>
        <w:rPr>
          <w:b/>
          <w:lang w:val="en-GB"/>
        </w:rPr>
        <w:lastRenderedPageBreak/>
        <w:t>Table</w:t>
      </w:r>
      <w:r w:rsidRPr="00E25944">
        <w:rPr>
          <w:b/>
          <w:lang w:val="en-GB"/>
        </w:rPr>
        <w:t xml:space="preserve"> </w:t>
      </w:r>
      <w:r>
        <w:rPr>
          <w:b/>
          <w:lang w:val="en-GB"/>
        </w:rPr>
        <w:t>S</w:t>
      </w:r>
      <w:r w:rsidRPr="00E25944">
        <w:rPr>
          <w:b/>
          <w:lang w:val="en-GB"/>
        </w:rPr>
        <w:t xml:space="preserve">1 </w:t>
      </w:r>
      <w:r w:rsidRPr="00E25944">
        <w:rPr>
          <w:lang w:val="en-GB"/>
        </w:rPr>
        <w:t>Microsatellite loci used to assess neutral variation in the Eurasian coot. Repeat unit size, size range, number of alleles, observed heterozygosity (</w:t>
      </w:r>
      <w:proofErr w:type="spellStart"/>
      <w:r w:rsidRPr="00E25944">
        <w:rPr>
          <w:lang w:val="en-GB"/>
        </w:rPr>
        <w:t>H</w:t>
      </w:r>
      <w:r w:rsidRPr="00E25944">
        <w:rPr>
          <w:vertAlign w:val="subscript"/>
          <w:lang w:val="en-GB"/>
        </w:rPr>
        <w:t>o</w:t>
      </w:r>
      <w:proofErr w:type="spellEnd"/>
      <w:r w:rsidRPr="00E25944">
        <w:rPr>
          <w:lang w:val="en-GB"/>
        </w:rPr>
        <w:t>) and expected heterozygosity (H</w:t>
      </w:r>
      <w:r w:rsidRPr="00E25944">
        <w:rPr>
          <w:vertAlign w:val="subscript"/>
          <w:lang w:val="en-GB"/>
        </w:rPr>
        <w:t>e</w:t>
      </w:r>
      <w:r w:rsidRPr="00E25944">
        <w:rPr>
          <w:lang w:val="en-GB"/>
        </w:rPr>
        <w:t>) are reported for each marker</w:t>
      </w:r>
      <w:r>
        <w:rPr>
          <w:lang w:val="en-GB"/>
        </w:rPr>
        <w:t>.</w:t>
      </w:r>
    </w:p>
    <w:tbl>
      <w:tblPr>
        <w:tblpPr w:leftFromText="141" w:rightFromText="141" w:vertAnchor="page" w:horzAnchor="page" w:tblpX="325" w:tblpY="3013"/>
        <w:tblW w:w="1133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553"/>
        <w:gridCol w:w="2658"/>
        <w:gridCol w:w="1031"/>
        <w:gridCol w:w="1032"/>
        <w:gridCol w:w="1014"/>
        <w:gridCol w:w="1014"/>
        <w:gridCol w:w="1014"/>
      </w:tblGrid>
      <w:tr w:rsidR="00755CEB" w:rsidTr="00F848E9">
        <w:trPr>
          <w:trHeight w:val="980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  <w:r w:rsidRPr="00C47ED5">
              <w:rPr>
                <w:rFonts w:cs="Calibri"/>
                <w:lang w:val="en-GB"/>
              </w:rPr>
              <w:t>Locus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lang w:val="en-GB"/>
              </w:rPr>
            </w:pPr>
            <w:r w:rsidRPr="00C47ED5">
              <w:rPr>
                <w:lang w:val="en-GB"/>
              </w:rPr>
              <w:t>Forward primer</w:t>
            </w:r>
          </w:p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C47ED5">
              <w:rPr>
                <w:lang w:val="en-GB"/>
              </w:rPr>
              <w:t>sequences (5’–3’)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lang w:val="en-GB"/>
              </w:rPr>
            </w:pPr>
            <w:r w:rsidRPr="00C47ED5">
              <w:rPr>
                <w:lang w:val="en-GB"/>
              </w:rPr>
              <w:t>Reverse primer</w:t>
            </w:r>
          </w:p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C47ED5">
              <w:rPr>
                <w:lang w:val="en-GB"/>
              </w:rPr>
              <w:t>sequences (5’–3’)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rPr>
                <w:lang w:val="en-GB"/>
              </w:rPr>
              <w:t>Repeat unit size (</w:t>
            </w:r>
            <w:proofErr w:type="spellStart"/>
            <w:r w:rsidRPr="00C47ED5">
              <w:rPr>
                <w:lang w:val="en-GB"/>
              </w:rPr>
              <w:t>bp</w:t>
            </w:r>
            <w:proofErr w:type="spellEnd"/>
            <w:r w:rsidRPr="00C47ED5">
              <w:rPr>
                <w:lang w:val="en-GB"/>
              </w:rPr>
              <w:t>)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rPr>
                <w:lang w:val="en-GB"/>
              </w:rPr>
              <w:t>Size range (</w:t>
            </w:r>
            <w:proofErr w:type="spellStart"/>
            <w:r w:rsidRPr="00C47ED5">
              <w:rPr>
                <w:lang w:val="en-GB"/>
              </w:rPr>
              <w:t>bp</w:t>
            </w:r>
            <w:proofErr w:type="spellEnd"/>
            <w:r w:rsidRPr="00C47ED5">
              <w:rPr>
                <w:lang w:val="en-GB"/>
              </w:rPr>
              <w:t>)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lang w:val="en-GB"/>
              </w:rPr>
            </w:pPr>
            <w:r w:rsidRPr="00C47ED5">
              <w:rPr>
                <w:lang w:val="en-GB"/>
              </w:rPr>
              <w:t>N alleles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lang w:val="en-GB"/>
              </w:rPr>
            </w:pPr>
            <w:proofErr w:type="spellStart"/>
            <w:r w:rsidRPr="00C47ED5">
              <w:rPr>
                <w:lang w:val="en-GB"/>
              </w:rPr>
              <w:t>H</w:t>
            </w:r>
            <w:r w:rsidRPr="00C47ED5">
              <w:rPr>
                <w:vertAlign w:val="subscript"/>
                <w:lang w:val="en-GB"/>
              </w:rPr>
              <w:t>o</w:t>
            </w:r>
            <w:proofErr w:type="spellEnd"/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lang w:val="en-GB"/>
              </w:rPr>
            </w:pPr>
            <w:r w:rsidRPr="00C47ED5">
              <w:rPr>
                <w:lang w:val="en-GB"/>
              </w:rPr>
              <w:t>H</w:t>
            </w:r>
            <w:r w:rsidRPr="00C47ED5">
              <w:rPr>
                <w:vertAlign w:val="subscript"/>
                <w:lang w:val="en-GB"/>
              </w:rPr>
              <w:t>e</w:t>
            </w:r>
          </w:p>
        </w:tc>
      </w:tr>
      <w:tr w:rsidR="00755CEB" w:rsidTr="00F848E9">
        <w:trPr>
          <w:trHeight w:val="567"/>
        </w:trPr>
        <w:tc>
          <w:tcPr>
            <w:tcW w:w="102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lang w:val="en-GB"/>
              </w:rPr>
            </w:pPr>
            <w:r w:rsidRPr="00C47ED5">
              <w:rPr>
                <w:rFonts w:cs="Calibri"/>
                <w:lang w:val="en-GB"/>
              </w:rPr>
              <w:t>Tm18</w:t>
            </w:r>
          </w:p>
        </w:tc>
        <w:tc>
          <w:tcPr>
            <w:tcW w:w="255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C47ED5">
              <w:rPr>
                <w:color w:val="000000"/>
                <w:sz w:val="18"/>
              </w:rPr>
              <w:t>CTGAACATTTCAAGAGTCCTCA</w:t>
            </w:r>
          </w:p>
        </w:tc>
        <w:tc>
          <w:tcPr>
            <w:tcW w:w="265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C47ED5">
              <w:rPr>
                <w:color w:val="000000"/>
                <w:sz w:val="18"/>
              </w:rPr>
              <w:t>GCAGAGCTGACCACTCAGAAC</w:t>
            </w:r>
          </w:p>
        </w:tc>
        <w:tc>
          <w:tcPr>
            <w:tcW w:w="1031" w:type="dxa"/>
            <w:tcBorders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rPr>
                <w:color w:val="000000"/>
              </w:rPr>
              <w:t>2</w:t>
            </w:r>
          </w:p>
        </w:tc>
        <w:tc>
          <w:tcPr>
            <w:tcW w:w="1032" w:type="dxa"/>
            <w:tcBorders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rPr>
                <w:color w:val="000000"/>
              </w:rPr>
              <w:t>137-149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rPr>
                <w:color w:val="000000"/>
              </w:rPr>
              <w:t>3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t>0.703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t>0.539</w:t>
            </w:r>
          </w:p>
        </w:tc>
      </w:tr>
      <w:tr w:rsidR="00755CEB" w:rsidTr="00F848E9">
        <w:trPr>
          <w:trHeight w:val="567"/>
        </w:trPr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lang w:val="en-GB"/>
              </w:rPr>
            </w:pPr>
            <w:r w:rsidRPr="00C47ED5">
              <w:rPr>
                <w:rFonts w:cs="Calibri"/>
                <w:lang w:val="en-GB"/>
              </w:rPr>
              <w:t>Tm20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55CEB" w:rsidRPr="00C47ED5" w:rsidRDefault="00755CEB" w:rsidP="00F848E9">
            <w:pPr>
              <w:tabs>
                <w:tab w:val="left" w:pos="540"/>
              </w:tabs>
              <w:spacing w:after="0" w:line="240" w:lineRule="auto"/>
              <w:jc w:val="center"/>
              <w:rPr>
                <w:sz w:val="18"/>
                <w:lang w:val="en-GB"/>
              </w:rPr>
            </w:pPr>
            <w:r w:rsidRPr="00C47ED5">
              <w:rPr>
                <w:color w:val="000000"/>
                <w:sz w:val="18"/>
              </w:rPr>
              <w:t>TGCACAGATGAGAAGGAGGGC</w:t>
            </w:r>
          </w:p>
        </w:tc>
        <w:tc>
          <w:tcPr>
            <w:tcW w:w="265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C47ED5">
              <w:rPr>
                <w:color w:val="000000"/>
                <w:sz w:val="18"/>
              </w:rPr>
              <w:t>GCCTGCTCACACTAGCAGAAC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rPr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rPr>
                <w:color w:val="000000"/>
              </w:rPr>
              <w:t>127-133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rPr>
                <w:color w:val="000000"/>
              </w:rPr>
              <w:t>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t>0.090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t>0.085</w:t>
            </w:r>
          </w:p>
        </w:tc>
      </w:tr>
      <w:tr w:rsidR="00755CEB" w:rsidTr="00F848E9">
        <w:trPr>
          <w:trHeight w:val="567"/>
        </w:trPr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lang w:val="en-GB"/>
              </w:rPr>
            </w:pPr>
            <w:r w:rsidRPr="00C47ED5">
              <w:rPr>
                <w:rFonts w:cs="Calibri"/>
                <w:lang w:val="en-GB"/>
              </w:rPr>
              <w:t>Tm27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C47ED5">
              <w:rPr>
                <w:color w:val="000000"/>
                <w:sz w:val="18"/>
              </w:rPr>
              <w:t>CTAGGTCACCTTTACAGTAGTC</w:t>
            </w:r>
          </w:p>
        </w:tc>
        <w:tc>
          <w:tcPr>
            <w:tcW w:w="265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C47ED5">
              <w:rPr>
                <w:color w:val="000000"/>
                <w:sz w:val="18"/>
              </w:rPr>
              <w:t>CAATACCATGTATAGAAATGTTGG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rPr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rPr>
                <w:color w:val="000000"/>
              </w:rPr>
              <w:t>131-173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rPr>
                <w:color w:val="000000"/>
              </w:rPr>
              <w:t>17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t>0.836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t>0.846</w:t>
            </w:r>
          </w:p>
        </w:tc>
      </w:tr>
      <w:tr w:rsidR="00755CEB" w:rsidTr="00F848E9">
        <w:trPr>
          <w:trHeight w:val="567"/>
        </w:trPr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lang w:val="en-GB"/>
              </w:rPr>
            </w:pPr>
            <w:r w:rsidRPr="00C47ED5">
              <w:rPr>
                <w:rFonts w:cs="Calibri"/>
                <w:lang w:val="en-GB"/>
              </w:rPr>
              <w:t>Tm38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C47ED5">
              <w:rPr>
                <w:color w:val="000000"/>
                <w:sz w:val="18"/>
              </w:rPr>
              <w:t>GATAGATGGAGCGTAAAATGCA</w:t>
            </w:r>
          </w:p>
        </w:tc>
        <w:tc>
          <w:tcPr>
            <w:tcW w:w="265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C47ED5">
              <w:rPr>
                <w:color w:val="000000"/>
                <w:sz w:val="18"/>
              </w:rPr>
              <w:t>AAGAAAGCAAAATGTCTGTATTGG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rPr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rPr>
                <w:color w:val="000000"/>
              </w:rPr>
              <w:t>103-113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rPr>
                <w:color w:val="000000"/>
              </w:rPr>
              <w:t>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t>0.504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t>0.511</w:t>
            </w:r>
          </w:p>
        </w:tc>
      </w:tr>
      <w:tr w:rsidR="00755CEB" w:rsidTr="00F848E9">
        <w:trPr>
          <w:trHeight w:val="567"/>
        </w:trPr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lang w:val="en-GB"/>
              </w:rPr>
            </w:pPr>
            <w:r w:rsidRPr="00C47ED5">
              <w:rPr>
                <w:rFonts w:cs="Calibri"/>
                <w:lang w:val="en-GB"/>
              </w:rPr>
              <w:t>Kira8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C47ED5">
              <w:rPr>
                <w:color w:val="000000"/>
                <w:sz w:val="18"/>
              </w:rPr>
              <w:t>GCTTTGCATCTTGCCTTAAA</w:t>
            </w:r>
          </w:p>
        </w:tc>
        <w:tc>
          <w:tcPr>
            <w:tcW w:w="265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C47ED5">
              <w:rPr>
                <w:color w:val="000000"/>
                <w:sz w:val="18"/>
              </w:rPr>
              <w:t>GTGACACTGATACAGTGTGCCT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rPr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rPr>
                <w:color w:val="000000"/>
              </w:rPr>
              <w:t>307-331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rPr>
                <w:color w:val="000000"/>
              </w:rPr>
              <w:t>16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t>0.879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t>0.901</w:t>
            </w:r>
          </w:p>
        </w:tc>
      </w:tr>
      <w:tr w:rsidR="00755CEB" w:rsidTr="00F848E9">
        <w:trPr>
          <w:trHeight w:val="567"/>
        </w:trPr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lang w:val="en-GB"/>
              </w:rPr>
            </w:pPr>
            <w:r w:rsidRPr="00C47ED5">
              <w:rPr>
                <w:rFonts w:cs="Calibri"/>
                <w:lang w:val="en-GB"/>
              </w:rPr>
              <w:t>Kira9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C47ED5">
              <w:rPr>
                <w:color w:val="000000"/>
                <w:sz w:val="18"/>
              </w:rPr>
              <w:t>TGATCTGGGCAGGCTTCTAC</w:t>
            </w:r>
          </w:p>
        </w:tc>
        <w:tc>
          <w:tcPr>
            <w:tcW w:w="265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C47ED5">
              <w:rPr>
                <w:color w:val="000000"/>
                <w:sz w:val="18"/>
              </w:rPr>
              <w:t>GTCGAATAATGGCAGCAATG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rPr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rPr>
                <w:color w:val="000000"/>
              </w:rPr>
              <w:t>163-173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rPr>
                <w:color w:val="000000"/>
              </w:rPr>
              <w:t>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t>0.520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t>0.499</w:t>
            </w:r>
          </w:p>
        </w:tc>
      </w:tr>
      <w:tr w:rsidR="00755CEB" w:rsidTr="00F848E9">
        <w:trPr>
          <w:trHeight w:val="567"/>
        </w:trPr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lang w:val="en-GB"/>
              </w:rPr>
            </w:pPr>
            <w:r w:rsidRPr="00C47ED5">
              <w:rPr>
                <w:rFonts w:cs="Calibri"/>
                <w:lang w:val="en-GB"/>
              </w:rPr>
              <w:t>Kira10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C47ED5">
              <w:rPr>
                <w:color w:val="000000"/>
                <w:sz w:val="18"/>
              </w:rPr>
              <w:t>CCAAGTACCATCTGCGAAGC</w:t>
            </w:r>
          </w:p>
        </w:tc>
        <w:tc>
          <w:tcPr>
            <w:tcW w:w="265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C47ED5">
              <w:rPr>
                <w:color w:val="000000"/>
                <w:sz w:val="18"/>
              </w:rPr>
              <w:t>AACCCGAACGAGAGATGTGA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rPr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rPr>
                <w:color w:val="000000"/>
              </w:rPr>
              <w:t>121-145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rPr>
                <w:color w:val="000000"/>
              </w:rPr>
              <w:t>12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t>0.785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t>0.774</w:t>
            </w:r>
          </w:p>
        </w:tc>
      </w:tr>
      <w:tr w:rsidR="00755CEB" w:rsidTr="00F848E9">
        <w:trPr>
          <w:trHeight w:val="567"/>
        </w:trPr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lang w:val="en-GB"/>
              </w:rPr>
            </w:pPr>
            <w:r w:rsidRPr="00C47ED5">
              <w:rPr>
                <w:rFonts w:cs="Calibri"/>
                <w:lang w:val="en-GB"/>
              </w:rPr>
              <w:t>Kira16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C47ED5">
              <w:rPr>
                <w:color w:val="000000"/>
                <w:sz w:val="18"/>
              </w:rPr>
              <w:t>CCAGGTGAAACTCTGCATT</w:t>
            </w:r>
          </w:p>
        </w:tc>
        <w:tc>
          <w:tcPr>
            <w:tcW w:w="265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C47ED5">
              <w:rPr>
                <w:color w:val="000000"/>
                <w:sz w:val="18"/>
              </w:rPr>
              <w:t>ACAGTTGTGATGTGGCTGGA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rPr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rPr>
                <w:color w:val="000000"/>
              </w:rPr>
              <w:t>299-419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rPr>
                <w:color w:val="000000"/>
              </w:rPr>
              <w:t>48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t>0.858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t>0.930</w:t>
            </w:r>
          </w:p>
        </w:tc>
      </w:tr>
      <w:tr w:rsidR="00755CEB" w:rsidTr="00F848E9">
        <w:trPr>
          <w:trHeight w:val="567"/>
        </w:trPr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lang w:val="en-GB"/>
              </w:rPr>
            </w:pPr>
            <w:r w:rsidRPr="00C47ED5">
              <w:rPr>
                <w:rFonts w:cs="Calibri"/>
                <w:lang w:val="en-GB"/>
              </w:rPr>
              <w:t>B106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C47ED5">
              <w:rPr>
                <w:color w:val="000000"/>
                <w:sz w:val="18"/>
              </w:rPr>
              <w:t>TAGTGCTCTCAGGAAAGACTTG</w:t>
            </w:r>
          </w:p>
        </w:tc>
        <w:tc>
          <w:tcPr>
            <w:tcW w:w="265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C47ED5">
              <w:rPr>
                <w:color w:val="000000"/>
                <w:sz w:val="18"/>
              </w:rPr>
              <w:t>CTCTTCCAGAAGCTGTAGTTG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rPr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rPr>
                <w:color w:val="000000"/>
              </w:rPr>
              <w:t>168-204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rPr>
                <w:color w:val="000000"/>
              </w:rPr>
              <w:t>15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t>0.777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color w:val="000000"/>
              </w:rPr>
            </w:pPr>
            <w:r w:rsidRPr="00C47ED5">
              <w:t>0.788</w:t>
            </w:r>
          </w:p>
        </w:tc>
      </w:tr>
      <w:tr w:rsidR="00755CEB" w:rsidTr="00F848E9">
        <w:trPr>
          <w:trHeight w:val="567"/>
        </w:trPr>
        <w:tc>
          <w:tcPr>
            <w:tcW w:w="10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lang w:val="en-GB"/>
              </w:rPr>
            </w:pPr>
            <w:r w:rsidRPr="00C47ED5">
              <w:rPr>
                <w:rFonts w:cs="Calibri"/>
                <w:lang w:val="en-GB"/>
              </w:rPr>
              <w:t>TG03002</w:t>
            </w:r>
          </w:p>
        </w:tc>
        <w:tc>
          <w:tcPr>
            <w:tcW w:w="2553" w:type="dxa"/>
            <w:tcBorders>
              <w:top w:val="nil"/>
            </w:tcBorders>
            <w:shd w:val="clear" w:color="auto" w:fill="auto"/>
            <w:vAlign w:val="center"/>
          </w:tcPr>
          <w:p w:rsidR="00755CEB" w:rsidRPr="008356D0" w:rsidRDefault="00755CEB" w:rsidP="00F848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8356D0">
              <w:rPr>
                <w:color w:val="000000"/>
                <w:sz w:val="18"/>
                <w:szCs w:val="18"/>
              </w:rPr>
              <w:t>TCTTGCCTTTTTGGTATGAGTAT</w:t>
            </w:r>
          </w:p>
        </w:tc>
        <w:tc>
          <w:tcPr>
            <w:tcW w:w="2658" w:type="dxa"/>
            <w:tcBorders>
              <w:top w:val="nil"/>
            </w:tcBorders>
            <w:shd w:val="clear" w:color="auto" w:fill="auto"/>
            <w:vAlign w:val="center"/>
          </w:tcPr>
          <w:p w:rsidR="00755CEB" w:rsidRPr="00832D8B" w:rsidRDefault="00755CEB" w:rsidP="00F848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832D8B">
              <w:rPr>
                <w:color w:val="000000"/>
                <w:sz w:val="18"/>
                <w:szCs w:val="18"/>
              </w:rPr>
              <w:t>TACAAAGCACTGTGGAGCAG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lang w:val="en-GB"/>
              </w:rPr>
            </w:pPr>
            <w:r w:rsidRPr="00C47ED5">
              <w:rPr>
                <w:lang w:val="en-GB"/>
              </w:rPr>
              <w:t>2</w:t>
            </w:r>
          </w:p>
        </w:tc>
        <w:tc>
          <w:tcPr>
            <w:tcW w:w="1032" w:type="dxa"/>
            <w:tcBorders>
              <w:top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lang w:val="en-GB"/>
              </w:rPr>
            </w:pPr>
            <w:r w:rsidRPr="00C47ED5">
              <w:rPr>
                <w:lang w:val="en-GB"/>
              </w:rPr>
              <w:t>118-126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lang w:val="en-GB"/>
              </w:rPr>
            </w:pPr>
            <w:r w:rsidRPr="00C47ED5">
              <w:rPr>
                <w:lang w:val="en-GB"/>
              </w:rPr>
              <w:t>5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lang w:val="en-GB"/>
              </w:rPr>
            </w:pPr>
            <w:r w:rsidRPr="00C47ED5">
              <w:t>0.265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auto"/>
            <w:vAlign w:val="center"/>
          </w:tcPr>
          <w:p w:rsidR="00755CEB" w:rsidRPr="00C47ED5" w:rsidRDefault="00755CEB" w:rsidP="00F848E9">
            <w:pPr>
              <w:spacing w:after="0" w:line="240" w:lineRule="auto"/>
              <w:jc w:val="center"/>
              <w:rPr>
                <w:lang w:val="en-GB"/>
              </w:rPr>
            </w:pPr>
            <w:r w:rsidRPr="00C47ED5">
              <w:t>0.257</w:t>
            </w:r>
          </w:p>
        </w:tc>
      </w:tr>
    </w:tbl>
    <w:p w:rsidR="00755CEB" w:rsidRDefault="00755CEB" w:rsidP="00755CEB"/>
    <w:p w:rsidR="00755CEB" w:rsidRDefault="00755CEB">
      <w:r>
        <w:br w:type="page"/>
      </w:r>
    </w:p>
    <w:p w:rsidR="00755CEB" w:rsidRDefault="00755CEB" w:rsidP="00755CEB">
      <w:pPr>
        <w:suppressLineNumbers/>
        <w:spacing w:line="360" w:lineRule="auto"/>
        <w:rPr>
          <w:lang w:val="en-GB"/>
        </w:rPr>
      </w:pPr>
      <w:r w:rsidRPr="00FD01AF">
        <w:rPr>
          <w:b/>
          <w:lang w:val="en-GB"/>
        </w:rPr>
        <w:lastRenderedPageBreak/>
        <w:t>T</w:t>
      </w:r>
      <w:r>
        <w:rPr>
          <w:b/>
          <w:lang w:val="en-GB"/>
        </w:rPr>
        <w:t>able</w:t>
      </w:r>
      <w:r w:rsidRPr="00FD01AF">
        <w:rPr>
          <w:b/>
          <w:lang w:val="en-GB"/>
        </w:rPr>
        <w:t xml:space="preserve"> </w:t>
      </w:r>
      <w:r>
        <w:rPr>
          <w:b/>
          <w:lang w:val="en-GB"/>
        </w:rPr>
        <w:t>S2</w:t>
      </w:r>
      <w:r w:rsidRPr="00FD01AF">
        <w:rPr>
          <w:lang w:val="en-GB"/>
        </w:rPr>
        <w:t xml:space="preserve"> Measures of MHC class II diversity in old urban (Warszawa), new urban (Łódź) and two rural (</w:t>
      </w:r>
      <w:proofErr w:type="spellStart"/>
      <w:r w:rsidRPr="00FD01AF">
        <w:rPr>
          <w:lang w:val="en-GB"/>
        </w:rPr>
        <w:t>Sarnów</w:t>
      </w:r>
      <w:proofErr w:type="spellEnd"/>
      <w:r w:rsidRPr="00FD01AF">
        <w:rPr>
          <w:lang w:val="en-GB"/>
        </w:rPr>
        <w:t xml:space="preserve"> and </w:t>
      </w:r>
      <w:proofErr w:type="spellStart"/>
      <w:r w:rsidRPr="00FD01AF">
        <w:rPr>
          <w:lang w:val="en-GB"/>
        </w:rPr>
        <w:t>Żeromin</w:t>
      </w:r>
      <w:proofErr w:type="spellEnd"/>
      <w:r w:rsidRPr="00FD01AF">
        <w:rPr>
          <w:lang w:val="en-GB"/>
        </w:rPr>
        <w:t>) populations of the Eurasian coot. Estimates given in parentheses were standardized for a population size of 20 individuals using rarefaction</w:t>
      </w:r>
      <w:r>
        <w:rPr>
          <w:lang w:val="en-GB"/>
        </w:rPr>
        <w:t>.</w:t>
      </w:r>
    </w:p>
    <w:p w:rsidR="00900B15" w:rsidRPr="00FD01AF" w:rsidRDefault="00900B15" w:rsidP="00755CEB">
      <w:pPr>
        <w:suppressLineNumbers/>
        <w:spacing w:line="360" w:lineRule="auto"/>
        <w:rPr>
          <w:lang w:val="en-GB"/>
        </w:rPr>
      </w:pPr>
    </w:p>
    <w:tbl>
      <w:tblPr>
        <w:tblW w:w="9781" w:type="dxa"/>
        <w:tblInd w:w="-28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417"/>
        <w:gridCol w:w="1701"/>
        <w:gridCol w:w="1560"/>
        <w:gridCol w:w="1417"/>
      </w:tblGrid>
      <w:tr w:rsidR="00755CEB" w:rsidRPr="00FD01AF" w:rsidTr="00F848E9">
        <w:trPr>
          <w:trHeight w:val="84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rPr>
                <w:lang w:val="en-GB"/>
              </w:rPr>
            </w:pPr>
            <w:r w:rsidRPr="00FD01AF">
              <w:rPr>
                <w:lang w:val="en-GB"/>
              </w:rPr>
              <w:t>Population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 w:rsidRPr="00FD01AF">
              <w:rPr>
                <w:lang w:val="en-GB"/>
              </w:rPr>
              <w:t>No. individuals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 w:rsidRPr="00FD01AF">
              <w:rPr>
                <w:lang w:val="en-GB"/>
              </w:rPr>
              <w:t>No. alleles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 w:rsidRPr="00FD01AF">
              <w:rPr>
                <w:lang w:val="en-GB"/>
              </w:rPr>
              <w:t>No. private alleles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 w:rsidRPr="00FD01AF">
              <w:rPr>
                <w:lang w:val="en-GB"/>
              </w:rPr>
              <w:t>No. segregating sites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 w:rsidRPr="00FD01AF">
              <w:rPr>
                <w:lang w:val="en-GB"/>
              </w:rPr>
              <w:t>No. nucleotide differences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 w:rsidRPr="00FD01AF">
              <w:rPr>
                <w:lang w:val="en-GB"/>
              </w:rPr>
              <w:t>Nucleotide diversity</w:t>
            </w:r>
          </w:p>
        </w:tc>
      </w:tr>
      <w:tr w:rsidR="00755CEB" w:rsidRPr="00FD01AF" w:rsidTr="00F848E9">
        <w:trPr>
          <w:trHeight w:val="425"/>
        </w:trPr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rPr>
                <w:lang w:val="en-GB"/>
              </w:rPr>
            </w:pPr>
            <w:r w:rsidRPr="00FD01AF">
              <w:rPr>
                <w:lang w:val="en-GB"/>
              </w:rPr>
              <w:t>Warszawa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 w:rsidRPr="00FD01AF">
              <w:rPr>
                <w:lang w:val="en-GB"/>
              </w:rPr>
              <w:t>26 (20)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 w:rsidRPr="00FD01AF">
              <w:rPr>
                <w:lang w:val="en-GB"/>
              </w:rPr>
              <w:t>27 (23)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 w:rsidRPr="00FD01AF">
              <w:rPr>
                <w:lang w:val="en-GB"/>
              </w:rPr>
              <w:t>14 (12)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93 </w:t>
            </w:r>
            <w:r w:rsidRPr="00FD01AF">
              <w:rPr>
                <w:lang w:val="en-GB"/>
              </w:rPr>
              <w:t>(90)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32.4 </w:t>
            </w:r>
            <w:r w:rsidRPr="00FD01AF">
              <w:rPr>
                <w:lang w:val="en-GB"/>
              </w:rPr>
              <w:t>(32.5)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0.121 </w:t>
            </w:r>
            <w:r w:rsidRPr="00FD01AF">
              <w:rPr>
                <w:lang w:val="en-GB"/>
              </w:rPr>
              <w:t>(0.122)</w:t>
            </w:r>
          </w:p>
        </w:tc>
      </w:tr>
      <w:tr w:rsidR="00755CEB" w:rsidRPr="00FD01AF" w:rsidTr="00F848E9">
        <w:trPr>
          <w:trHeight w:val="425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rPr>
                <w:lang w:val="en-GB"/>
              </w:rPr>
            </w:pPr>
            <w:r w:rsidRPr="00FD01AF">
              <w:rPr>
                <w:lang w:val="en-GB"/>
              </w:rPr>
              <w:t>Łódź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 w:rsidRPr="00FD01AF">
              <w:rPr>
                <w:lang w:val="en-GB"/>
              </w:rPr>
              <w:t>30 (20)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 w:rsidRPr="00FD01AF">
              <w:rPr>
                <w:lang w:val="en-GB"/>
              </w:rPr>
              <w:t>37 (27)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 w:rsidRPr="00FD01AF">
              <w:rPr>
                <w:lang w:val="en-GB"/>
              </w:rPr>
              <w:t>14 (8)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93 </w:t>
            </w:r>
            <w:r w:rsidRPr="00FD01AF">
              <w:rPr>
                <w:lang w:val="en-GB"/>
              </w:rPr>
              <w:t>(90)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31.2 </w:t>
            </w:r>
            <w:r w:rsidRPr="00FD01AF">
              <w:rPr>
                <w:lang w:val="en-GB"/>
              </w:rPr>
              <w:t>(32.0)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0.117 </w:t>
            </w:r>
            <w:r w:rsidRPr="00FD01AF">
              <w:rPr>
                <w:lang w:val="en-GB"/>
              </w:rPr>
              <w:t>(0.119)</w:t>
            </w:r>
          </w:p>
        </w:tc>
      </w:tr>
      <w:tr w:rsidR="00755CEB" w:rsidRPr="00FD01AF" w:rsidTr="00F848E9">
        <w:trPr>
          <w:trHeight w:val="425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rPr>
                <w:lang w:val="en-GB"/>
              </w:rPr>
            </w:pPr>
            <w:proofErr w:type="spellStart"/>
            <w:r w:rsidRPr="00FD01AF">
              <w:rPr>
                <w:lang w:val="en-GB"/>
              </w:rPr>
              <w:t>Sarnów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 w:rsidRPr="00FD01AF">
              <w:rPr>
                <w:lang w:val="en-GB"/>
              </w:rPr>
              <w:t>27 (20)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 w:rsidRPr="00FD01AF">
              <w:rPr>
                <w:lang w:val="en-GB"/>
              </w:rPr>
              <w:t>52 (41)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 w:rsidRPr="00FD01AF">
              <w:rPr>
                <w:lang w:val="en-GB"/>
              </w:rPr>
              <w:t>30 (22)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96 </w:t>
            </w:r>
            <w:r w:rsidRPr="00FD01AF">
              <w:rPr>
                <w:lang w:val="en-GB"/>
              </w:rPr>
              <w:t>(93)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31.3 </w:t>
            </w:r>
            <w:r w:rsidRPr="00FD01AF">
              <w:rPr>
                <w:lang w:val="en-GB"/>
              </w:rPr>
              <w:t>(32.5)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0.117 </w:t>
            </w:r>
            <w:r w:rsidRPr="00FD01AF">
              <w:rPr>
                <w:lang w:val="en-GB"/>
              </w:rPr>
              <w:t>(0.122)</w:t>
            </w:r>
          </w:p>
        </w:tc>
      </w:tr>
      <w:tr w:rsidR="00755CEB" w:rsidRPr="00FD01AF" w:rsidTr="00F848E9">
        <w:trPr>
          <w:trHeight w:val="425"/>
        </w:trPr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rPr>
                <w:lang w:val="en-GB"/>
              </w:rPr>
            </w:pPr>
            <w:proofErr w:type="spellStart"/>
            <w:r w:rsidRPr="00FD01AF">
              <w:rPr>
                <w:lang w:val="en-GB"/>
              </w:rPr>
              <w:t>Żeromin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 w:rsidRPr="00FD01AF">
              <w:rPr>
                <w:lang w:val="en-GB"/>
              </w:rPr>
              <w:t>20 (20)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 w:rsidRPr="00FD01AF">
              <w:rPr>
                <w:lang w:val="en-GB"/>
              </w:rPr>
              <w:t>44 (44)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 w:rsidRPr="00FD01AF">
              <w:rPr>
                <w:lang w:val="en-GB"/>
              </w:rPr>
              <w:t>24 (24)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92 </w:t>
            </w:r>
            <w:r w:rsidRPr="00FD01AF">
              <w:rPr>
                <w:lang w:val="en-GB"/>
              </w:rPr>
              <w:t>(92)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31.4 </w:t>
            </w:r>
            <w:r w:rsidRPr="00FD01AF">
              <w:rPr>
                <w:lang w:val="en-GB"/>
              </w:rPr>
              <w:t>(31.4)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755CEB" w:rsidRPr="00FD01AF" w:rsidRDefault="00755CEB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0.118 </w:t>
            </w:r>
            <w:r w:rsidRPr="00FD01AF">
              <w:rPr>
                <w:lang w:val="en-GB"/>
              </w:rPr>
              <w:t>(0.118)</w:t>
            </w:r>
          </w:p>
        </w:tc>
      </w:tr>
    </w:tbl>
    <w:p w:rsidR="00755CEB" w:rsidRPr="001024B1" w:rsidRDefault="00755CEB" w:rsidP="00755CEB"/>
    <w:p w:rsidR="00755CEB" w:rsidRDefault="00755CEB">
      <w:r>
        <w:br w:type="page"/>
      </w:r>
    </w:p>
    <w:p w:rsidR="00900B15" w:rsidRDefault="00900B15" w:rsidP="00900B15">
      <w:pPr>
        <w:suppressLineNumbers/>
        <w:spacing w:line="360" w:lineRule="auto"/>
        <w:rPr>
          <w:lang w:val="en-GB"/>
        </w:rPr>
      </w:pPr>
      <w:r w:rsidRPr="00E25944">
        <w:rPr>
          <w:b/>
          <w:lang w:val="en-GB"/>
        </w:rPr>
        <w:lastRenderedPageBreak/>
        <w:t>T</w:t>
      </w:r>
      <w:r>
        <w:rPr>
          <w:b/>
          <w:lang w:val="en-GB"/>
        </w:rPr>
        <w:t>able</w:t>
      </w:r>
      <w:r>
        <w:rPr>
          <w:b/>
          <w:lang w:val="en-GB"/>
        </w:rPr>
        <w:t xml:space="preserve"> S3</w:t>
      </w:r>
      <w:r w:rsidRPr="00E25944">
        <w:rPr>
          <w:lang w:val="en-GB"/>
        </w:rPr>
        <w:t xml:space="preserve"> Measures of microsatellite diversity in old urban (Warszawa), new urban (Łódź) and two rural (</w:t>
      </w:r>
      <w:proofErr w:type="spellStart"/>
      <w:r w:rsidRPr="00E25944">
        <w:rPr>
          <w:lang w:val="en-GB"/>
        </w:rPr>
        <w:t>Sarnów</w:t>
      </w:r>
      <w:proofErr w:type="spellEnd"/>
      <w:r w:rsidRPr="00E25944">
        <w:rPr>
          <w:lang w:val="en-GB"/>
        </w:rPr>
        <w:t xml:space="preserve"> and </w:t>
      </w:r>
      <w:proofErr w:type="spellStart"/>
      <w:r w:rsidRPr="00E25944">
        <w:rPr>
          <w:lang w:val="en-GB"/>
        </w:rPr>
        <w:t>Żeromin</w:t>
      </w:r>
      <w:proofErr w:type="spellEnd"/>
      <w:r w:rsidRPr="00E25944">
        <w:rPr>
          <w:lang w:val="en-GB"/>
        </w:rPr>
        <w:t>) populations of the Eurasian coot. Estimates given in parentheses were standardized for a population size of 20 individuals using rarefaction</w:t>
      </w:r>
      <w:r>
        <w:rPr>
          <w:lang w:val="en-GB"/>
        </w:rPr>
        <w:t>.</w:t>
      </w:r>
      <w:bookmarkStart w:id="0" w:name="_GoBack"/>
      <w:bookmarkEnd w:id="0"/>
    </w:p>
    <w:p w:rsidR="00900B15" w:rsidRPr="00E25944" w:rsidRDefault="00900B15" w:rsidP="00900B15">
      <w:pPr>
        <w:suppressLineNumbers/>
        <w:spacing w:line="360" w:lineRule="auto"/>
        <w:rPr>
          <w:lang w:val="en-GB"/>
        </w:rPr>
      </w:pPr>
    </w:p>
    <w:tbl>
      <w:tblPr>
        <w:tblW w:w="705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417"/>
        <w:gridCol w:w="1951"/>
      </w:tblGrid>
      <w:tr w:rsidR="00900B15" w:rsidRPr="00FD01AF" w:rsidTr="00F848E9">
        <w:trPr>
          <w:trHeight w:val="84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B15" w:rsidRPr="00FD01AF" w:rsidRDefault="00900B15" w:rsidP="00F848E9">
            <w:pPr>
              <w:suppressLineNumbers/>
              <w:spacing w:after="0" w:line="240" w:lineRule="auto"/>
              <w:rPr>
                <w:lang w:val="en-GB"/>
              </w:rPr>
            </w:pPr>
            <w:r w:rsidRPr="00FD01AF">
              <w:rPr>
                <w:lang w:val="en-GB"/>
              </w:rPr>
              <w:t>Population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B15" w:rsidRPr="00FD01AF" w:rsidRDefault="00900B15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 w:rsidRPr="00FD01AF">
              <w:rPr>
                <w:lang w:val="en-GB"/>
              </w:rPr>
              <w:t>No. individuals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B15" w:rsidRPr="00FD01AF" w:rsidRDefault="00900B15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 w:rsidRPr="00FD01AF">
              <w:rPr>
                <w:lang w:val="en-GB"/>
              </w:rPr>
              <w:t>No. alleles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B15" w:rsidRPr="00FD01AF" w:rsidRDefault="00900B15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 w:rsidRPr="00FD01AF">
              <w:rPr>
                <w:lang w:val="en-GB"/>
              </w:rPr>
              <w:t>No. private alleles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00B15" w:rsidRPr="00FD01AF" w:rsidRDefault="00900B15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Observed heterozygosity (</w:t>
            </w:r>
            <w:proofErr w:type="spellStart"/>
            <w:r>
              <w:rPr>
                <w:lang w:val="en-GB"/>
              </w:rPr>
              <w:t>H</w:t>
            </w:r>
            <w:r w:rsidRPr="002D6DC2">
              <w:rPr>
                <w:vertAlign w:val="subscript"/>
                <w:lang w:val="en-GB"/>
              </w:rPr>
              <w:t>o</w:t>
            </w:r>
            <w:proofErr w:type="spellEnd"/>
            <w:r>
              <w:rPr>
                <w:lang w:val="en-GB"/>
              </w:rPr>
              <w:t>)</w:t>
            </w:r>
          </w:p>
        </w:tc>
      </w:tr>
      <w:tr w:rsidR="00900B15" w:rsidRPr="00FD01AF" w:rsidTr="00F848E9">
        <w:trPr>
          <w:trHeight w:val="425"/>
        </w:trPr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900B15" w:rsidRPr="00FD01AF" w:rsidRDefault="00900B15" w:rsidP="00F848E9">
            <w:pPr>
              <w:suppressLineNumbers/>
              <w:spacing w:after="0" w:line="240" w:lineRule="auto"/>
              <w:rPr>
                <w:lang w:val="en-GB"/>
              </w:rPr>
            </w:pPr>
            <w:r w:rsidRPr="00FD01AF">
              <w:rPr>
                <w:lang w:val="en-GB"/>
              </w:rPr>
              <w:t>Warszawa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900B15" w:rsidRPr="00FD01AF" w:rsidRDefault="00900B15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 w:rsidRPr="00FD01AF">
              <w:rPr>
                <w:lang w:val="en-GB"/>
              </w:rPr>
              <w:t>26 (20)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900B15" w:rsidRPr="00FD01AF" w:rsidRDefault="00900B15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76</w:t>
            </w:r>
            <w:r w:rsidRPr="00FD01AF">
              <w:rPr>
                <w:lang w:val="en-GB"/>
              </w:rPr>
              <w:t xml:space="preserve"> (</w:t>
            </w:r>
            <w:r>
              <w:rPr>
                <w:lang w:val="en-GB"/>
              </w:rPr>
              <w:t>70</w:t>
            </w:r>
            <w:r w:rsidRPr="00FD01AF">
              <w:rPr>
                <w:lang w:val="en-GB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900B15" w:rsidRPr="00A64B5C" w:rsidRDefault="00900B15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 w:rsidRPr="00A64B5C">
              <w:rPr>
                <w:lang w:val="en-GB"/>
              </w:rPr>
              <w:t>8 (8)</w:t>
            </w:r>
          </w:p>
        </w:tc>
        <w:tc>
          <w:tcPr>
            <w:tcW w:w="1951" w:type="dxa"/>
            <w:tcBorders>
              <w:bottom w:val="nil"/>
            </w:tcBorders>
            <w:vAlign w:val="center"/>
          </w:tcPr>
          <w:p w:rsidR="00900B15" w:rsidRPr="00FD01AF" w:rsidRDefault="00900B15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0.585 (0.580)</w:t>
            </w:r>
          </w:p>
        </w:tc>
      </w:tr>
      <w:tr w:rsidR="00900B15" w:rsidRPr="00FD01AF" w:rsidTr="00F848E9">
        <w:trPr>
          <w:trHeight w:val="425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0B15" w:rsidRPr="00FD01AF" w:rsidRDefault="00900B15" w:rsidP="00F848E9">
            <w:pPr>
              <w:suppressLineNumbers/>
              <w:spacing w:after="0" w:line="240" w:lineRule="auto"/>
              <w:rPr>
                <w:lang w:val="en-GB"/>
              </w:rPr>
            </w:pPr>
            <w:r w:rsidRPr="00FD01AF">
              <w:rPr>
                <w:lang w:val="en-GB"/>
              </w:rPr>
              <w:t>Łódź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0B15" w:rsidRPr="00FD01AF" w:rsidRDefault="00900B15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 w:rsidRPr="00FD01AF">
              <w:rPr>
                <w:lang w:val="en-GB"/>
              </w:rPr>
              <w:t>30 (20)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0B15" w:rsidRPr="00FD01AF" w:rsidRDefault="00900B15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88</w:t>
            </w:r>
            <w:r w:rsidRPr="00FD01AF">
              <w:rPr>
                <w:lang w:val="en-GB"/>
              </w:rPr>
              <w:t xml:space="preserve"> (</w:t>
            </w:r>
            <w:r>
              <w:rPr>
                <w:lang w:val="en-GB"/>
              </w:rPr>
              <w:t>78</w:t>
            </w:r>
            <w:r w:rsidRPr="00FD01AF">
              <w:rPr>
                <w:lang w:val="en-GB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0B15" w:rsidRPr="00A64B5C" w:rsidRDefault="00900B15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 w:rsidRPr="00A64B5C">
              <w:rPr>
                <w:lang w:val="en-GB"/>
              </w:rPr>
              <w:t>13 (11)</w:t>
            </w:r>
          </w:p>
        </w:tc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:rsidR="00900B15" w:rsidRPr="00FD01AF" w:rsidRDefault="00900B15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0.637 (0.655)</w:t>
            </w:r>
          </w:p>
        </w:tc>
      </w:tr>
      <w:tr w:rsidR="00900B15" w:rsidRPr="00FD01AF" w:rsidTr="00F848E9">
        <w:trPr>
          <w:trHeight w:val="425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0B15" w:rsidRPr="00FD01AF" w:rsidRDefault="00900B15" w:rsidP="00F848E9">
            <w:pPr>
              <w:suppressLineNumbers/>
              <w:spacing w:after="0" w:line="240" w:lineRule="auto"/>
              <w:rPr>
                <w:lang w:val="en-GB"/>
              </w:rPr>
            </w:pPr>
            <w:proofErr w:type="spellStart"/>
            <w:r w:rsidRPr="00FD01AF">
              <w:rPr>
                <w:lang w:val="en-GB"/>
              </w:rPr>
              <w:t>Sarnów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0B15" w:rsidRPr="00FD01AF" w:rsidRDefault="00900B15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 w:rsidRPr="00FD01AF">
              <w:rPr>
                <w:lang w:val="en-GB"/>
              </w:rPr>
              <w:t>27 (20)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0B15" w:rsidRPr="00FD01AF" w:rsidRDefault="00900B15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88</w:t>
            </w:r>
            <w:r w:rsidRPr="00FD01AF">
              <w:rPr>
                <w:lang w:val="en-GB"/>
              </w:rPr>
              <w:t xml:space="preserve"> (</w:t>
            </w:r>
            <w:r>
              <w:rPr>
                <w:lang w:val="en-GB"/>
              </w:rPr>
              <w:t>82</w:t>
            </w:r>
            <w:r w:rsidRPr="00FD01AF">
              <w:rPr>
                <w:lang w:val="en-GB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0B15" w:rsidRPr="00A64B5C" w:rsidRDefault="00900B15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 w:rsidRPr="00A64B5C">
              <w:rPr>
                <w:lang w:val="en-GB"/>
              </w:rPr>
              <w:t>13 (11)</w:t>
            </w:r>
          </w:p>
        </w:tc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:rsidR="00900B15" w:rsidRPr="00FD01AF" w:rsidRDefault="00900B15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0.611 (0.635)</w:t>
            </w:r>
          </w:p>
        </w:tc>
      </w:tr>
      <w:tr w:rsidR="00900B15" w:rsidRPr="00FD01AF" w:rsidTr="00F848E9">
        <w:trPr>
          <w:trHeight w:val="425"/>
        </w:trPr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00B15" w:rsidRPr="00FD01AF" w:rsidRDefault="00900B15" w:rsidP="00F848E9">
            <w:pPr>
              <w:suppressLineNumbers/>
              <w:spacing w:after="0" w:line="240" w:lineRule="auto"/>
              <w:rPr>
                <w:lang w:val="en-GB"/>
              </w:rPr>
            </w:pPr>
            <w:proofErr w:type="spellStart"/>
            <w:r w:rsidRPr="00FD01AF">
              <w:rPr>
                <w:lang w:val="en-GB"/>
              </w:rPr>
              <w:t>Żeromin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00B15" w:rsidRPr="00FD01AF" w:rsidRDefault="00900B15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 w:rsidRPr="00FD01AF">
              <w:rPr>
                <w:lang w:val="en-GB"/>
              </w:rPr>
              <w:t>20 (20)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00B15" w:rsidRPr="00FD01AF" w:rsidRDefault="00900B15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75</w:t>
            </w:r>
            <w:r w:rsidRPr="00FD01AF">
              <w:rPr>
                <w:lang w:val="en-GB"/>
              </w:rPr>
              <w:t xml:space="preserve"> (</w:t>
            </w:r>
            <w:r>
              <w:rPr>
                <w:lang w:val="en-GB"/>
              </w:rPr>
              <w:t>75</w:t>
            </w:r>
            <w:r w:rsidRPr="00FD01AF">
              <w:rPr>
                <w:lang w:val="en-GB"/>
              </w:rPr>
              <w:t>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00B15" w:rsidRPr="00A64B5C" w:rsidRDefault="00900B15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 w:rsidRPr="00A64B5C">
              <w:rPr>
                <w:lang w:val="en-GB"/>
              </w:rPr>
              <w:t>7 (9)</w:t>
            </w:r>
          </w:p>
        </w:tc>
        <w:tc>
          <w:tcPr>
            <w:tcW w:w="1951" w:type="dxa"/>
            <w:tcBorders>
              <w:top w:val="nil"/>
            </w:tcBorders>
            <w:vAlign w:val="center"/>
          </w:tcPr>
          <w:p w:rsidR="00900B15" w:rsidRPr="00FD01AF" w:rsidRDefault="00900B15" w:rsidP="00F848E9">
            <w:pPr>
              <w:suppressLineNumbers/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0.655 (0.655)</w:t>
            </w:r>
          </w:p>
        </w:tc>
      </w:tr>
    </w:tbl>
    <w:p w:rsidR="00900B15" w:rsidRPr="00720299" w:rsidRDefault="00900B15" w:rsidP="00900B15"/>
    <w:p w:rsidR="00755CEB" w:rsidRPr="00755CEB" w:rsidRDefault="00755CEB" w:rsidP="00755CEB"/>
    <w:sectPr w:rsidR="00755CEB" w:rsidRPr="0075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EB"/>
    <w:rsid w:val="006B14E3"/>
    <w:rsid w:val="00755CEB"/>
    <w:rsid w:val="0090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6FA032-2D7C-4BD5-A040-30A9085B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C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5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pminias</dc:creator>
  <cp:keywords/>
  <dc:description/>
  <cp:lastModifiedBy>pminias</cp:lastModifiedBy>
  <cp:revision>1</cp:revision>
  <dcterms:created xsi:type="dcterms:W3CDTF">2021-07-01T07:48:00Z</dcterms:created>
  <dcterms:modified xsi:type="dcterms:W3CDTF">2021-07-01T08:02:00Z</dcterms:modified>
</cp:coreProperties>
</file>