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65" w:rsidRDefault="007F4365" w:rsidP="007F4365">
      <w:pPr>
        <w:rPr>
          <w:rFonts w:asciiTheme="majorBidi" w:hAnsiTheme="majorBidi"/>
          <w:sz w:val="24"/>
          <w:szCs w:val="24"/>
        </w:rPr>
      </w:pPr>
      <w:r w:rsidRPr="00EE4B64">
        <w:rPr>
          <w:rFonts w:asciiTheme="majorBidi" w:hAnsiTheme="majorBidi"/>
          <w:sz w:val="24"/>
          <w:szCs w:val="24"/>
        </w:rPr>
        <w:t>SUPPLEMENTARY INFORMATION</w:t>
      </w:r>
    </w:p>
    <w:p w:rsidR="007F4365" w:rsidRDefault="007F4365" w:rsidP="007F4365">
      <w:pPr>
        <w:rPr>
          <w:i/>
          <w:iCs/>
        </w:rPr>
      </w:pPr>
      <w:r>
        <w:object w:dxaOrig="11740" w:dyaOrig="6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9pt" o:ole="">
            <v:imagedata r:id="rId4" o:title=""/>
          </v:shape>
          <o:OLEObject Type="Embed" ProgID="CHEMDOODLEOLE.ChemDoodleEmbeddedObject.1" ShapeID="_x0000_i1025" DrawAspect="Content" ObjectID="_1686492809" r:id="rId5"/>
        </w:object>
      </w:r>
    </w:p>
    <w:p w:rsidR="007F4365" w:rsidRPr="00B81333" w:rsidRDefault="007F4365" w:rsidP="007F4365">
      <w:pPr>
        <w:spacing w:before="360" w:after="36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81333">
        <w:rPr>
          <w:rFonts w:ascii="Times New Roman" w:hAnsi="Times New Roman" w:cs="Times New Roman"/>
          <w:sz w:val="24"/>
          <w:szCs w:val="24"/>
          <w:highlight w:val="yellow"/>
        </w:rPr>
        <w:t>Synthesis of linoleic acid chloride</w:t>
      </w:r>
    </w:p>
    <w:p w:rsidR="007F4365" w:rsidRPr="00B81333" w:rsidRDefault="007F4365" w:rsidP="007F4365">
      <w:pPr>
        <w:spacing w:before="360" w:after="36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81333">
        <w:rPr>
          <w:rFonts w:ascii="Times New Roman" w:hAnsi="Times New Roman" w:cs="Times New Roman"/>
          <w:sz w:val="24"/>
          <w:szCs w:val="24"/>
          <w:highlight w:val="yellow"/>
        </w:rPr>
        <w:t>A flame dried round-bottomed flask was charged with linoleic acid ((9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12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)-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9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12-octadecadienoic acid) (1.1 mL, 3.5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oxalyl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chloride (0.33 mL, 3.9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), anhydrous CH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Cl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(8 mL), and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-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dimethylformamide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(30 µL, 0.39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). The reaction was stirred at reflux for 6 h,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then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cooled to room temperature, and the solvent was removed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in </w:t>
      </w:r>
      <w:proofErr w:type="spellStart"/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vacuo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. The resulting linoleic acid chloride ((9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12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)-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9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12-octadecadienoyl chloride) was used in the next step without further purification.</w:t>
      </w:r>
    </w:p>
    <w:p w:rsidR="007F4365" w:rsidRPr="00B81333" w:rsidRDefault="007F4365" w:rsidP="007F4365">
      <w:pPr>
        <w:spacing w:before="360" w:after="36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81333">
        <w:rPr>
          <w:rFonts w:ascii="Times New Roman" w:hAnsi="Times New Roman" w:cs="Times New Roman"/>
          <w:sz w:val="24"/>
          <w:szCs w:val="24"/>
          <w:highlight w:val="yellow"/>
        </w:rPr>
        <w:t>Synthesis of (6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-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17-bromo-6, 9-heptadecadiene</w:t>
      </w:r>
    </w:p>
    <w:p w:rsidR="007F4365" w:rsidRPr="00B81333" w:rsidRDefault="007F4365" w:rsidP="007F4365">
      <w:pPr>
        <w:spacing w:before="360" w:after="36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A flame dried round-bottomed flask was charged with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dimethylaminopyridine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(DMAP, 54 mg, 0.44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), 2-mercaptopyridine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-oxide sodium salt (725 mg, 4.86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), and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bromotrichloromethane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(15 mL, 152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), and this mixture was heated to reflux. Then, linoleic 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acid chloride ((9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12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)-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9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12-octadecadienoyl chloride, ~3.5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from the last step) was dissolved in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bromotrichloromethane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(10 mL, 101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 and this was added to the refluxing DMAP / 2-mercaptopyridine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N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-oxide sodium salt mixture dropwise. After refluxing for 2 h, the mixture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was cooled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to room temperature and diethyl ether (40 mL) and saturated sodium chloride solution (20 mL) were added. The layers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were separated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and the aqueous layer was further extracted with diethyl ether (2 × 20 mL). The combined organic extractions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were washed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with water (30 mL), saturated sodium chloride solution (30 mL) and dried (MgSO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). Column chromatography on silica gel (hexanes as eluent) yielded (6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-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17-bromo-6, 9-heptadecadiene (460 mg, 1.46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42 % over 2 steps) as a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colourless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transparent liquid.</w:t>
      </w:r>
    </w:p>
    <w:p w:rsidR="007F4365" w:rsidRPr="00B81333" w:rsidRDefault="007F4365" w:rsidP="007F4365">
      <w:pPr>
        <w:spacing w:before="360" w:after="36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81333">
        <w:rPr>
          <w:rFonts w:ascii="Times New Roman" w:hAnsi="Times New Roman" w:cs="Times New Roman"/>
          <w:sz w:val="24"/>
          <w:szCs w:val="24"/>
          <w:highlight w:val="yellow"/>
        </w:rPr>
        <w:t>Synthesis of (6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)-6, 9-heptadecadiene</w:t>
      </w:r>
    </w:p>
    <w:p w:rsidR="007F4365" w:rsidRDefault="007F4365" w:rsidP="007F4365">
      <w:p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B81333">
        <w:rPr>
          <w:rFonts w:ascii="Times New Roman" w:hAnsi="Times New Roman" w:cs="Times New Roman"/>
          <w:sz w:val="24"/>
          <w:szCs w:val="24"/>
          <w:highlight w:val="yellow"/>
        </w:rPr>
        <w:t>A flame dried round-bottomed flask was charged with (6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-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17-bromo-6, 9-heptadecadiene (460 mg, 1.46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), anhydrous tetrahydrofuran (10 mL) and lithium aluminum hydride (61 mg, 1.6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). The reaction was stirred at reflux for 3 h, then H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O (0.3 mL) was carefully added, followed by 15 % </w:t>
      </w:r>
      <w:proofErr w:type="spellStart"/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NaOH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(</w:t>
      </w:r>
      <w:proofErr w:type="spellStart"/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aq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)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(0.3 mL). When the grey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colour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of the lithium aluminum hydride had discharged, then cloudy white suspension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was filtered through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celite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and eluted with diethyl ether (20 mL)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. The resulting solution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was washed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with brine (20 mL) and dried (MgSO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). </w:t>
      </w:r>
      <w:proofErr w:type="gram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Column chromatography on silica gel (hexanes as eluent) yielded (6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9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Z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)-6, 9-heptadecadiene (260 mg, 1.10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mmol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75 %) as a </w:t>
      </w:r>
      <w:proofErr w:type="spellStart"/>
      <w:r w:rsidRPr="00B81333">
        <w:rPr>
          <w:rFonts w:ascii="Times New Roman" w:hAnsi="Times New Roman" w:cs="Times New Roman"/>
          <w:sz w:val="24"/>
          <w:szCs w:val="24"/>
          <w:highlight w:val="yellow"/>
        </w:rPr>
        <w:t>colourless</w:t>
      </w:r>
      <w:proofErr w:type="spell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transparent liquid, with the following spectral data: 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H NMR (CDCl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, 400 MHz): δ 5.30-5.41 (m, 4H), 2.78 (t, 2H,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J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= 6.6 Hz), 2.03-2.08 (m, 4H), 1.28-1.39 (m, 16H), 0.89 (t, 3H,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J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= 6.7 Hz), 0.88 (t, 3H, </w:t>
      </w:r>
      <w:r w:rsidRPr="00B81333">
        <w:rPr>
          <w:rFonts w:ascii="Times New Roman" w:hAnsi="Times New Roman" w:cs="Times New Roman"/>
          <w:i/>
          <w:sz w:val="24"/>
          <w:szCs w:val="24"/>
          <w:highlight w:val="yellow"/>
        </w:rPr>
        <w:t>J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= 6.5 Hz). 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13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C NMR (CDCl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, 100 MHz): 130.2, 130.1, 128.0, 127.9, 31.9, 31.6, 29.7, 29.4, 29.3, 29.2, 27.3, 27.2, 25.6, 22.7, 22.6, 14.09, 14.05.</w:t>
      </w:r>
      <w:proofErr w:type="gramEnd"/>
      <w:r w:rsidRPr="00B81333">
        <w:rPr>
          <w:rFonts w:ascii="Times New Roman" w:hAnsi="Times New Roman" w:cs="Times New Roman"/>
          <w:sz w:val="24"/>
          <w:szCs w:val="24"/>
          <w:highlight w:val="yellow"/>
        </w:rPr>
        <w:t xml:space="preserve"> LRMS (EI, 70 eV) m/z main peaks: 55 (44 %), 67 (100 %), 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81 (88 %), 95 (69 %), 110 (36 %), 124 (20 %), 138 (15 %), 152 (4 %), 166 (3 %), 236 (26 %, M</w:t>
      </w:r>
      <w:r w:rsidRPr="00B8133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+</w:t>
      </w:r>
      <w:r w:rsidRPr="00B81333">
        <w:rPr>
          <w:rFonts w:ascii="Times New Roman" w:hAnsi="Times New Roman" w:cs="Times New Roman"/>
          <w:sz w:val="24"/>
          <w:szCs w:val="24"/>
          <w:highlight w:val="yellow"/>
        </w:rPr>
        <w:t>).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4365" w:rsidRPr="00EE4B64" w:rsidRDefault="007F4365" w:rsidP="007F4365">
      <w:pPr>
        <w:spacing w:before="360" w:after="360" w:line="48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29C87632" wp14:editId="0A6B1557">
            <wp:extent cx="5943600" cy="3234690"/>
            <wp:effectExtent l="0" t="0" r="0" b="3810"/>
            <wp:docPr id="10" name="Picture 10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histo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B64">
        <w:rPr>
          <w:rFonts w:asciiTheme="majorBidi" w:hAnsiTheme="majorBidi" w:cstheme="majorBidi"/>
          <w:sz w:val="20"/>
          <w:szCs w:val="20"/>
        </w:rPr>
        <w:t xml:space="preserve"> MS of (</w:t>
      </w:r>
      <w:r>
        <w:rPr>
          <w:rFonts w:asciiTheme="majorBidi" w:hAnsiTheme="majorBidi" w:cstheme="majorBidi"/>
          <w:sz w:val="20"/>
          <w:szCs w:val="20"/>
        </w:rPr>
        <w:t>3</w:t>
      </w:r>
      <w:r w:rsidRPr="00EE4B64">
        <w:rPr>
          <w:rFonts w:asciiTheme="majorBidi" w:hAnsiTheme="majorBidi" w:cstheme="majorBidi"/>
          <w:sz w:val="20"/>
          <w:szCs w:val="20"/>
        </w:rPr>
        <w:t>Z</w:t>
      </w:r>
      <w:proofErr w:type="gramStart"/>
      <w:r w:rsidRPr="00EE4B64">
        <w:rPr>
          <w:rFonts w:asciiTheme="majorBidi" w:hAnsiTheme="majorBidi" w:cstheme="majorBidi"/>
          <w:sz w:val="20"/>
          <w:szCs w:val="20"/>
        </w:rPr>
        <w:t>,</w:t>
      </w:r>
      <w:r>
        <w:rPr>
          <w:rFonts w:asciiTheme="majorBidi" w:hAnsiTheme="majorBidi" w:cstheme="majorBidi"/>
          <w:sz w:val="20"/>
          <w:szCs w:val="20"/>
        </w:rPr>
        <w:t>9</w:t>
      </w:r>
      <w:r w:rsidRPr="00EE4B64">
        <w:rPr>
          <w:rFonts w:asciiTheme="majorBidi" w:hAnsiTheme="majorBidi" w:cstheme="majorBidi"/>
          <w:sz w:val="20"/>
          <w:szCs w:val="20"/>
        </w:rPr>
        <w:t>Z</w:t>
      </w:r>
      <w:proofErr w:type="gramEnd"/>
      <w:r w:rsidRPr="00EE4B64">
        <w:rPr>
          <w:rFonts w:asciiTheme="majorBidi" w:hAnsiTheme="majorBidi" w:cstheme="majorBidi"/>
          <w:sz w:val="20"/>
          <w:szCs w:val="20"/>
        </w:rPr>
        <w:t xml:space="preserve">) 6,9, </w:t>
      </w:r>
      <w:proofErr w:type="spellStart"/>
      <w:r w:rsidRPr="00EE4B64">
        <w:rPr>
          <w:rFonts w:asciiTheme="majorBidi" w:hAnsiTheme="majorBidi" w:cstheme="majorBidi"/>
          <w:sz w:val="20"/>
          <w:szCs w:val="20"/>
        </w:rPr>
        <w:t>heptadecadiene</w:t>
      </w:r>
      <w:proofErr w:type="spellEnd"/>
      <w:r w:rsidRPr="00EE4B64" w:rsidDel="003160AB">
        <w:rPr>
          <w:rFonts w:asciiTheme="majorBidi" w:hAnsiTheme="majorBidi" w:cstheme="majorBidi"/>
          <w:sz w:val="20"/>
          <w:szCs w:val="20"/>
        </w:rPr>
        <w:t xml:space="preserve"> </w:t>
      </w:r>
      <w:r w:rsidRPr="00EE4B64">
        <w:rPr>
          <w:rFonts w:asciiTheme="majorBidi" w:hAnsiTheme="majorBidi" w:cstheme="majorBidi"/>
          <w:sz w:val="20"/>
          <w:szCs w:val="20"/>
        </w:rPr>
        <w:br w:type="page"/>
      </w:r>
    </w:p>
    <w:p w:rsidR="007F4365" w:rsidRPr="00EE4B64" w:rsidRDefault="007F4365" w:rsidP="007F4365">
      <w:pPr>
        <w:spacing w:before="360" w:after="360" w:line="48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491E4E6C" wp14:editId="2AB35855">
            <wp:extent cx="5943600" cy="3234690"/>
            <wp:effectExtent l="0" t="0" r="0" b="3810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B64">
        <w:rPr>
          <w:rFonts w:asciiTheme="majorBidi" w:hAnsiTheme="majorBidi" w:cstheme="majorBidi"/>
          <w:sz w:val="20"/>
          <w:szCs w:val="20"/>
        </w:rPr>
        <w:t>MS of component 1</w:t>
      </w:r>
      <w:r w:rsidRPr="00EE4B64">
        <w:rPr>
          <w:rFonts w:asciiTheme="majorBidi" w:hAnsiTheme="majorBidi" w:cstheme="majorBidi"/>
          <w:sz w:val="20"/>
          <w:szCs w:val="20"/>
        </w:rPr>
        <w:br w:type="page"/>
      </w:r>
    </w:p>
    <w:p w:rsidR="007F4365" w:rsidRPr="00EE4B64" w:rsidRDefault="007F4365" w:rsidP="007F4365">
      <w:pPr>
        <w:spacing w:before="360" w:after="360" w:line="48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3D507937" wp14:editId="5346FFA2">
            <wp:extent cx="5943600" cy="3451225"/>
            <wp:effectExtent l="0" t="0" r="0" b="0"/>
            <wp:docPr id="12" name="Picture 12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histo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B64">
        <w:rPr>
          <w:rFonts w:asciiTheme="majorBidi" w:hAnsiTheme="majorBidi" w:cstheme="majorBidi"/>
          <w:sz w:val="20"/>
          <w:szCs w:val="20"/>
        </w:rPr>
        <w:t>MS of component 2</w:t>
      </w:r>
    </w:p>
    <w:p w:rsidR="000E5978" w:rsidRDefault="000E5978">
      <w:bookmarkStart w:id="0" w:name="_GoBack"/>
      <w:bookmarkEnd w:id="0"/>
    </w:p>
    <w:sectPr w:rsidR="000E5978" w:rsidSect="00D26F94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33" w:rsidRDefault="00B10449" w:rsidP="00B81333">
    <w:pPr>
      <w:pStyle w:val="Footer"/>
    </w:pPr>
  </w:p>
  <w:p w:rsidR="00B81333" w:rsidRDefault="00B104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65"/>
    <w:rsid w:val="00080DE0"/>
    <w:rsid w:val="000E5978"/>
    <w:rsid w:val="003F7B6F"/>
    <w:rsid w:val="006F0D74"/>
    <w:rsid w:val="007F4365"/>
    <w:rsid w:val="00B10449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A038-274F-430F-A237-98C47AB2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4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65"/>
  </w:style>
  <w:style w:type="character" w:styleId="LineNumber">
    <w:name w:val="line number"/>
    <w:basedOn w:val="DefaultParagraphFont"/>
    <w:uiPriority w:val="99"/>
    <w:semiHidden/>
    <w:unhideWhenUsed/>
    <w:rsid w:val="007F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2575</Characters>
  <Application>Microsoft Office Word</Application>
  <DocSecurity>0</DocSecurity>
  <Lines>21</Lines>
  <Paragraphs>6</Paragraphs>
  <ScaleCrop>false</ScaleCrop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 Faal</dc:creator>
  <cp:keywords/>
  <dc:description/>
  <cp:lastModifiedBy>Hajar Faal</cp:lastModifiedBy>
  <cp:revision>2</cp:revision>
  <dcterms:created xsi:type="dcterms:W3CDTF">2021-06-29T21:26:00Z</dcterms:created>
  <dcterms:modified xsi:type="dcterms:W3CDTF">2021-06-29T21:27:00Z</dcterms:modified>
</cp:coreProperties>
</file>