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21DF6" w14:textId="77777777" w:rsidR="003E324B" w:rsidRPr="004378B5" w:rsidRDefault="003E324B" w:rsidP="003E324B">
      <w:pPr>
        <w:spacing w:line="360" w:lineRule="auto"/>
        <w:rPr>
          <w:rFonts w:ascii="Times New Roman" w:hAnsi="Times New Roman"/>
          <w:b/>
        </w:rPr>
      </w:pPr>
      <w:r w:rsidRPr="004378B5">
        <w:rPr>
          <w:rFonts w:ascii="Times New Roman" w:hAnsi="Times New Roman"/>
          <w:b/>
        </w:rPr>
        <w:t>Figure captions</w:t>
      </w:r>
    </w:p>
    <w:p w14:paraId="577423A8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1. Circular maps of </w:t>
      </w:r>
      <w:bookmarkStart w:id="0" w:name="_Hlk74858881"/>
      <w:r w:rsidRPr="00324ABD">
        <w:rPr>
          <w:rFonts w:ascii="Times New Roman" w:hAnsi="Times New Roman" w:cs="Times New Roman"/>
          <w:bCs/>
          <w:szCs w:val="21"/>
          <w:lang w:bidi="en-US"/>
        </w:rPr>
        <w:t>the12 newly sequenced</w:t>
      </w:r>
      <w:r w:rsidRPr="004378B5">
        <w:rPr>
          <w:rFonts w:ascii="Times New Roman" w:hAnsi="Times New Roman"/>
        </w:rPr>
        <w:t xml:space="preserve"> mitogenomes of </w:t>
      </w:r>
      <w:r w:rsidRPr="00324ABD">
        <w:rPr>
          <w:rFonts w:ascii="Times New Roman" w:hAnsi="Times New Roman" w:cs="Times New Roman"/>
          <w:bCs/>
          <w:szCs w:val="21"/>
          <w:lang w:bidi="en-US"/>
        </w:rPr>
        <w:t>Caliscelidae</w:t>
      </w:r>
      <w:bookmarkEnd w:id="0"/>
      <w:r w:rsidRPr="004378B5">
        <w:rPr>
          <w:rFonts w:ascii="Times New Roman" w:hAnsi="Times New Roman"/>
        </w:rPr>
        <w:t>. Protein-coding, ribosomal, and transfer RNA genes are shown with standard abbreviations. Gene orientations are indicated by arrow directions. Protein-coding genes, transfer RNA genes, control regions, and two ribosomal RNA genes are shown in yellow, aubergine, blue, and red, respectively.</w:t>
      </w:r>
    </w:p>
    <w:p w14:paraId="1D88D434" w14:textId="77777777" w:rsidR="003E324B" w:rsidRPr="004378B5" w:rsidRDefault="003E324B" w:rsidP="003E324B">
      <w:pPr>
        <w:spacing w:line="360" w:lineRule="auto"/>
        <w:rPr>
          <w:rFonts w:ascii="Times New Roman" w:hAnsi="Times New Roman"/>
          <w:b/>
        </w:rPr>
      </w:pPr>
    </w:p>
    <w:p w14:paraId="25417F25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2. Number of codon usages in the protein-coding genes of </w:t>
      </w:r>
      <w:r w:rsidRPr="00324ABD">
        <w:rPr>
          <w:rFonts w:ascii="Times New Roman" w:hAnsi="Times New Roman" w:cs="Times New Roman"/>
          <w:bCs/>
          <w:szCs w:val="21"/>
          <w:lang w:bidi="en-US"/>
        </w:rPr>
        <w:t>the12 newly sequenced</w:t>
      </w:r>
      <w:r w:rsidRPr="004378B5">
        <w:rPr>
          <w:rFonts w:ascii="Times New Roman" w:hAnsi="Times New Roman"/>
        </w:rPr>
        <w:t xml:space="preserve"> mitogenomes</w:t>
      </w:r>
      <w:r w:rsidRPr="00324ABD">
        <w:rPr>
          <w:rFonts w:ascii="Times New Roman" w:hAnsi="Times New Roman" w:cs="Times New Roman"/>
          <w:bCs/>
          <w:szCs w:val="21"/>
          <w:lang w:bidi="en-US"/>
        </w:rPr>
        <w:t xml:space="preserve"> of Caliscelidae</w:t>
      </w:r>
      <w:r w:rsidRPr="004378B5">
        <w:rPr>
          <w:rFonts w:ascii="Times New Roman" w:hAnsi="Times New Roman"/>
        </w:rPr>
        <w:t>.</w:t>
      </w:r>
    </w:p>
    <w:p w14:paraId="5CB78761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</w:p>
    <w:p w14:paraId="07D18562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3. Relative synonymous codon usage in the protein-coding genes of </w:t>
      </w:r>
      <w:r w:rsidRPr="00324ABD">
        <w:rPr>
          <w:rFonts w:ascii="Times New Roman" w:hAnsi="Times New Roman" w:cs="Times New Roman"/>
          <w:szCs w:val="21"/>
          <w:lang w:bidi="en-US"/>
        </w:rPr>
        <w:t>the12 newly sequenced</w:t>
      </w:r>
      <w:r w:rsidRPr="004378B5">
        <w:rPr>
          <w:rFonts w:ascii="Times New Roman" w:hAnsi="Times New Roman"/>
        </w:rPr>
        <w:t xml:space="preserve"> mitogenomes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of Caliscelidae</w:t>
      </w:r>
      <w:r w:rsidRPr="004378B5">
        <w:rPr>
          <w:rFonts w:ascii="Times New Roman" w:hAnsi="Times New Roman"/>
        </w:rPr>
        <w:t>. Codon families are indicated below the X-axis. The color of the codon family below the X-axis corresponds to the color above the X-axis. The stop codon is not given. Codons absent in mitogenomes are shown at the top of columns.</w:t>
      </w:r>
    </w:p>
    <w:p w14:paraId="0BF6BEB8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</w:p>
    <w:p w14:paraId="13FF6294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>Figure 4. Phylogenetic trees of Fulgoroidea inferred using MrBayes (Bayesian inference) and maximum likelihood (ML) analysis based on the nucleotide sequences of 13 protein-coding genes. Bayesian posterior probabilities (BPPs) and bootstrap percentages (BPs) are indicated on branches</w:t>
      </w:r>
      <w:r w:rsidRPr="00324ABD">
        <w:rPr>
          <w:rFonts w:ascii="Times New Roman" w:hAnsi="Times New Roman" w:cs="Times New Roman"/>
          <w:szCs w:val="21"/>
          <w:lang w:bidi="en-US"/>
        </w:rPr>
        <w:t>.</w:t>
      </w:r>
    </w:p>
    <w:p w14:paraId="4775710D" w14:textId="77777777" w:rsidR="003E324B" w:rsidRPr="004378B5" w:rsidRDefault="003E324B" w:rsidP="003E324B">
      <w:pPr>
        <w:spacing w:line="360" w:lineRule="auto"/>
        <w:rPr>
          <w:rFonts w:ascii="Times New Roman" w:hAnsi="Times New Roman"/>
          <w:b/>
        </w:rPr>
      </w:pPr>
    </w:p>
    <w:p w14:paraId="7F7EDCC8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</w:t>
      </w:r>
      <w:r w:rsidRPr="00324ABD">
        <w:rPr>
          <w:rFonts w:ascii="Times New Roman" w:hAnsi="Times New Roman" w:cs="Times New Roman"/>
          <w:szCs w:val="21"/>
          <w:lang w:bidi="en-US"/>
        </w:rPr>
        <w:t>5</w:t>
      </w:r>
      <w:r w:rsidRPr="004378B5">
        <w:rPr>
          <w:rFonts w:ascii="Times New Roman" w:hAnsi="Times New Roman"/>
        </w:rPr>
        <w:t xml:space="preserve">. Nucleotide diversity (A) and the ratio of Ka/Ks (B) of protein-coding genes from </w:t>
      </w:r>
      <w:r>
        <w:rPr>
          <w:rFonts w:ascii="Times New Roman" w:hAnsi="Times New Roman"/>
        </w:rPr>
        <w:t>16</w:t>
      </w:r>
      <w:r w:rsidRPr="004378B5">
        <w:rPr>
          <w:rFonts w:ascii="Times New Roman" w:hAnsi="Times New Roman"/>
        </w:rPr>
        <w:t xml:space="preserve"> reported </w:t>
      </w:r>
      <w:r w:rsidRPr="003B73B8">
        <w:rPr>
          <w:rFonts w:ascii="Times New Roman" w:hAnsi="Times New Roman"/>
        </w:rPr>
        <w:t>Caliscelidae</w:t>
      </w:r>
      <w:r w:rsidRPr="004378B5">
        <w:rPr>
          <w:rFonts w:ascii="Times New Roman" w:hAnsi="Times New Roman"/>
        </w:rPr>
        <w:t xml:space="preserve"> mitogenomes.</w:t>
      </w:r>
    </w:p>
    <w:p w14:paraId="40E8D56C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</w:p>
    <w:p w14:paraId="3F50784F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  <w:b/>
        </w:rPr>
        <w:t xml:space="preserve">Supplementary </w:t>
      </w:r>
      <w:r w:rsidRPr="00324ABD">
        <w:rPr>
          <w:rFonts w:ascii="Times New Roman" w:hAnsi="Times New Roman" w:cs="Times New Roman"/>
          <w:b/>
          <w:szCs w:val="21"/>
          <w:lang w:bidi="en-US"/>
        </w:rPr>
        <w:t>Materials:</w:t>
      </w:r>
    </w:p>
    <w:p w14:paraId="0D245401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S1.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Augilina tetraina</w:t>
      </w:r>
      <w:r w:rsidRPr="00324ABD">
        <w:rPr>
          <w:rFonts w:ascii="Times New Roman" w:hAnsi="Times New Roman" w:cs="Times New Roman"/>
          <w:szCs w:val="21"/>
          <w:lang w:bidi="en-US"/>
        </w:rPr>
        <w:t>.</w:t>
      </w:r>
      <w:r w:rsidRPr="004378B5">
        <w:rPr>
          <w:rFonts w:ascii="Times New Roman" w:hAnsi="Times New Roman"/>
        </w:rPr>
        <w:t xml:space="preserve"> Dashes and dots indicate Watson–Crick and GU base pairing, respectively.</w:t>
      </w:r>
    </w:p>
    <w:p w14:paraId="45B77405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>Figure S2.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Augilina triaina</w:t>
      </w:r>
      <w:r w:rsidRPr="00324ABD">
        <w:rPr>
          <w:rFonts w:ascii="Times New Roman" w:hAnsi="Times New Roman" w:cs="Times New Roman"/>
          <w:szCs w:val="21"/>
          <w:lang w:bidi="en-US"/>
        </w:rPr>
        <w:t>.</w:t>
      </w:r>
      <w:r w:rsidRPr="004378B5">
        <w:rPr>
          <w:rFonts w:ascii="Times New Roman" w:hAnsi="Times New Roman"/>
        </w:rPr>
        <w:t xml:space="preserve"> Dashes and dots indicate Watson–Crick and GU base pairing, respectively.</w:t>
      </w:r>
    </w:p>
    <w:p w14:paraId="29EAAC80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324ABD">
        <w:rPr>
          <w:rFonts w:ascii="Times New Roman" w:hAnsi="Times New Roman" w:cs="Times New Roman"/>
          <w:szCs w:val="21"/>
          <w:lang w:bidi="en-US"/>
        </w:rPr>
        <w:t>Figure S3</w:t>
      </w:r>
      <w:r w:rsidRPr="00F2544C">
        <w:rPr>
          <w:rFonts w:ascii="Times New Roman" w:hAnsi="Times New Roman"/>
        </w:rPr>
        <w:t>.</w:t>
      </w:r>
      <w:r w:rsidRPr="004378B5">
        <w:rPr>
          <w:rFonts w:ascii="Times New Roman" w:hAnsi="Times New Roman"/>
        </w:rPr>
        <w:t xml:space="preserve"> Secondary structures of the transfer RNAs in the mitogenome of </w:t>
      </w:r>
      <w:r w:rsidRPr="004378B5">
        <w:rPr>
          <w:rFonts w:ascii="Times New Roman" w:hAnsi="Times New Roman"/>
          <w:i/>
        </w:rPr>
        <w:t>Symplana brevistrata</w:t>
      </w:r>
      <w:r w:rsidRPr="004378B5">
        <w:rPr>
          <w:rFonts w:ascii="Times New Roman" w:hAnsi="Times New Roman"/>
        </w:rPr>
        <w:t>. Dashes and dots indicate Watson–Crick and GU base pairing, respectively.</w:t>
      </w:r>
    </w:p>
    <w:p w14:paraId="2AE86552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</w:t>
      </w:r>
      <w:r w:rsidRPr="00324ABD">
        <w:rPr>
          <w:rFonts w:ascii="Times New Roman" w:hAnsi="Times New Roman" w:cs="Times New Roman"/>
          <w:szCs w:val="21"/>
          <w:lang w:bidi="en-US"/>
        </w:rPr>
        <w:t>S4</w:t>
      </w:r>
      <w:r w:rsidRPr="004378B5">
        <w:rPr>
          <w:rFonts w:ascii="Times New Roman" w:hAnsi="Times New Roman"/>
        </w:rPr>
        <w:t xml:space="preserve">. Secondary structures of the transfer RNAs in the mitogenome of </w:t>
      </w:r>
      <w:r w:rsidRPr="004378B5">
        <w:rPr>
          <w:rFonts w:ascii="Times New Roman" w:hAnsi="Times New Roman"/>
          <w:i/>
        </w:rPr>
        <w:t>Symplana lii</w:t>
      </w:r>
      <w:r w:rsidRPr="004378B5">
        <w:rPr>
          <w:rFonts w:ascii="Times New Roman" w:hAnsi="Times New Roman"/>
        </w:rPr>
        <w:t>. Dashes and dots indicate Watson–Crick and GU base pairing, respectively.</w:t>
      </w:r>
    </w:p>
    <w:p w14:paraId="3083C4D2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4378B5">
        <w:rPr>
          <w:rFonts w:ascii="Times New Roman" w:hAnsi="Times New Roman"/>
        </w:rPr>
        <w:lastRenderedPageBreak/>
        <w:t xml:space="preserve">Figure S5. 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Neosymplana vittatum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4A227173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4378B5">
        <w:rPr>
          <w:rFonts w:ascii="Times New Roman" w:hAnsi="Times New Roman"/>
        </w:rPr>
        <w:t>Figure S6.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Pseudosymplanella nigrifasciata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2667155B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S7.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Symplanella brevicephala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5BAB0FF6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S8.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Symplanella unipuncta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4C902A48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S9.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Augilodes binghami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51B2E4CC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Figure S10. Secondary structures of the transfer RNAs in the mitogenome of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 xml:space="preserve"> Cylindratus longicephalus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57003B60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Figure S11. Secondary structures of the transfer RNAs in the mitogenome of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 xml:space="preserve"> Caliscelis shandongensis</w:t>
      </w:r>
      <w:r w:rsidRPr="00324ABD">
        <w:rPr>
          <w:rFonts w:ascii="Times New Roman" w:hAnsi="Times New Roman" w:cs="Times New Roman"/>
          <w:szCs w:val="21"/>
          <w:lang w:bidi="en-US"/>
        </w:rPr>
        <w:t>. Dashes and dots indicate Watson–Crick and GU base pairing, respectively.</w:t>
      </w:r>
    </w:p>
    <w:p w14:paraId="3EF2C6D7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S12. Secondary structures of the transfer RNAs in the mitogenome of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Peltonotellus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sp. Dashes and dots indicate Watson–Crick and GU base pairing, respectively.</w:t>
      </w:r>
    </w:p>
    <w:p w14:paraId="02C2EE57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324ABD">
        <w:rPr>
          <w:rFonts w:ascii="Times New Roman" w:hAnsi="Times New Roman" w:cs="Times New Roman"/>
          <w:szCs w:val="21"/>
          <w:lang w:bidi="en-US"/>
        </w:rPr>
        <w:t>Figure S13</w:t>
      </w:r>
      <w:r w:rsidRPr="004378B5">
        <w:rPr>
          <w:rFonts w:ascii="Times New Roman" w:hAnsi="Times New Roman"/>
        </w:rPr>
        <w:t xml:space="preserve">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Augilina tetraina</w:t>
      </w:r>
      <w:r w:rsidRPr="004378B5">
        <w:rPr>
          <w:rFonts w:ascii="Times New Roman" w:hAnsi="Times New Roman"/>
        </w:rPr>
        <w:t xml:space="preserve"> mitogenome. The tandem repeats are shaded yellow</w:t>
      </w:r>
      <w:r w:rsidRPr="00324ABD">
        <w:rPr>
          <w:rFonts w:ascii="Times New Roman" w:hAnsi="Times New Roman" w:cs="Times New Roman"/>
          <w:szCs w:val="21"/>
          <w:lang w:bidi="en-US"/>
        </w:rPr>
        <w:t>.</w:t>
      </w:r>
    </w:p>
    <w:p w14:paraId="0B3E36FB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F2544C">
        <w:rPr>
          <w:rFonts w:ascii="Times New Roman" w:hAnsi="Times New Roman"/>
        </w:rPr>
        <w:t xml:space="preserve">Figure </w:t>
      </w:r>
      <w:r w:rsidRPr="00324ABD">
        <w:rPr>
          <w:rFonts w:ascii="Times New Roman" w:hAnsi="Times New Roman" w:cs="Times New Roman"/>
          <w:szCs w:val="21"/>
          <w:lang w:bidi="en-US"/>
        </w:rPr>
        <w:t>S14</w:t>
      </w:r>
      <w:r w:rsidRPr="00F2544C">
        <w:rPr>
          <w:rFonts w:ascii="Times New Roman" w:hAnsi="Times New Roman"/>
        </w:rPr>
        <w:t xml:space="preserve">. </w:t>
      </w:r>
      <w:r w:rsidRPr="004378B5">
        <w:rPr>
          <w:rFonts w:ascii="Times New Roman" w:hAnsi="Times New Roman"/>
        </w:rPr>
        <w:t xml:space="preserve">Features </w:t>
      </w:r>
      <w:r w:rsidRPr="00324ABD">
        <w:rPr>
          <w:rFonts w:ascii="Times New Roman" w:hAnsi="Times New Roman" w:cs="Times New Roman"/>
          <w:szCs w:val="21"/>
          <w:lang w:bidi="en-US"/>
        </w:rPr>
        <w:t>of</w:t>
      </w:r>
      <w:r w:rsidRPr="004378B5">
        <w:rPr>
          <w:rFonts w:ascii="Times New Roman" w:hAnsi="Times New Roman"/>
        </w:rPr>
        <w:t xml:space="preserve"> the AT-rich region </w:t>
      </w:r>
      <w:r w:rsidRPr="00324ABD">
        <w:rPr>
          <w:rFonts w:ascii="Times New Roman" w:hAnsi="Times New Roman" w:cs="Times New Roman"/>
          <w:szCs w:val="21"/>
          <w:lang w:bidi="en-US"/>
        </w:rPr>
        <w:t>in</w:t>
      </w:r>
      <w:r w:rsidRPr="004378B5">
        <w:rPr>
          <w:rFonts w:ascii="Times New Roman" w:hAnsi="Times New Roman"/>
        </w:rPr>
        <w:t xml:space="preserve">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Augilina triaina</w:t>
      </w:r>
      <w:r w:rsidRPr="004378B5">
        <w:rPr>
          <w:rFonts w:ascii="Times New Roman" w:hAnsi="Times New Roman"/>
        </w:rPr>
        <w:t xml:space="preserve"> mitogenome. The tandem repeats are shaded yellow.</w:t>
      </w:r>
    </w:p>
    <w:p w14:paraId="6CCFF793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F2544C">
        <w:rPr>
          <w:rFonts w:ascii="Times New Roman" w:hAnsi="Times New Roman"/>
        </w:rPr>
        <w:t xml:space="preserve">Figure </w:t>
      </w:r>
      <w:r w:rsidRPr="00324ABD">
        <w:rPr>
          <w:rFonts w:ascii="Times New Roman" w:hAnsi="Times New Roman" w:cs="Times New Roman"/>
          <w:szCs w:val="21"/>
          <w:lang w:bidi="en-US"/>
        </w:rPr>
        <w:t>S15</w:t>
      </w:r>
      <w:r w:rsidRPr="00F2544C">
        <w:rPr>
          <w:rFonts w:ascii="Times New Roman" w:hAnsi="Times New Roman"/>
        </w:rPr>
        <w:t>.</w:t>
      </w:r>
      <w:r w:rsidRPr="004378B5">
        <w:rPr>
          <w:rFonts w:ascii="Times New Roman" w:hAnsi="Times New Roman"/>
        </w:rPr>
        <w:t xml:space="preserve"> Features of the AT-rich region in the </w:t>
      </w:r>
      <w:r w:rsidRPr="004378B5">
        <w:rPr>
          <w:rFonts w:ascii="Times New Roman" w:hAnsi="Times New Roman"/>
          <w:i/>
        </w:rPr>
        <w:t>Symplana brevistrata</w:t>
      </w:r>
      <w:r w:rsidRPr="004378B5">
        <w:rPr>
          <w:rFonts w:ascii="Times New Roman" w:hAnsi="Times New Roman"/>
        </w:rPr>
        <w:t xml:space="preserve"> mitogenome. The two tandem repeats are shaded yellow and </w:t>
      </w:r>
      <w:r>
        <w:rPr>
          <w:rFonts w:ascii="Times New Roman" w:hAnsi="Times New Roman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, respectively</w:t>
      </w:r>
      <w:r w:rsidRPr="004378B5">
        <w:rPr>
          <w:rFonts w:ascii="Times New Roman" w:hAnsi="Times New Roman"/>
        </w:rPr>
        <w:t>. * indicates a mismatch; - indicates an insertion or deletion.</w:t>
      </w:r>
    </w:p>
    <w:p w14:paraId="0159C2AD" w14:textId="77777777" w:rsidR="003E324B" w:rsidRPr="004378B5" w:rsidRDefault="003E324B" w:rsidP="003E324B">
      <w:pPr>
        <w:spacing w:line="360" w:lineRule="auto"/>
        <w:rPr>
          <w:rFonts w:ascii="Times New Roman" w:hAnsi="Times New Roman"/>
        </w:rPr>
      </w:pPr>
      <w:r w:rsidRPr="004378B5">
        <w:rPr>
          <w:rFonts w:ascii="Times New Roman" w:hAnsi="Times New Roman"/>
        </w:rPr>
        <w:t xml:space="preserve">Figure </w:t>
      </w:r>
      <w:r w:rsidRPr="00324ABD">
        <w:rPr>
          <w:rFonts w:ascii="Times New Roman" w:hAnsi="Times New Roman" w:cs="Times New Roman"/>
          <w:szCs w:val="21"/>
          <w:lang w:bidi="en-US"/>
        </w:rPr>
        <w:t>S16</w:t>
      </w:r>
      <w:r w:rsidRPr="004378B5">
        <w:rPr>
          <w:rFonts w:ascii="Times New Roman" w:hAnsi="Times New Roman"/>
        </w:rPr>
        <w:t>. Features of the AT-rich region in the</w:t>
      </w:r>
      <w:r w:rsidRPr="004378B5">
        <w:rPr>
          <w:rFonts w:ascii="Times New Roman" w:hAnsi="Times New Roman"/>
          <w:i/>
        </w:rPr>
        <w:t xml:space="preserve"> Symplana lii</w:t>
      </w:r>
      <w:r w:rsidRPr="004378B5">
        <w:rPr>
          <w:rFonts w:ascii="Times New Roman" w:hAnsi="Times New Roman"/>
        </w:rPr>
        <w:t xml:space="preserve"> mitogenome. The two tandem repeats are shaded yellow and </w:t>
      </w:r>
      <w:r>
        <w:rPr>
          <w:rFonts w:ascii="Times New Roman" w:hAnsi="Times New Roman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, respectively</w:t>
      </w:r>
      <w:r w:rsidRPr="004378B5">
        <w:rPr>
          <w:rFonts w:ascii="Times New Roman" w:hAnsi="Times New Roman"/>
        </w:rPr>
        <w:t>. * indicates a mismatch; - indicates an insertion or deletion.</w:t>
      </w:r>
    </w:p>
    <w:p w14:paraId="6B8E09FD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S17.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Neosymplana vittatum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four tandem repeats are shaded blue,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, yellow, and green, respectively. </w:t>
      </w:r>
      <w:r w:rsidRPr="004378B5">
        <w:rPr>
          <w:rFonts w:ascii="Times New Roman" w:hAnsi="Times New Roman"/>
        </w:rPr>
        <w:t>* indicates a mismatch; - indicates an insertion or deletion.</w:t>
      </w:r>
    </w:p>
    <w:p w14:paraId="43221005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S18.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Pseudosymplanella nigrifasciata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two tandem repeats are shaded yellow</w:t>
      </w:r>
      <w:r>
        <w:rPr>
          <w:rFonts w:ascii="Times New Roman" w:hAnsi="Times New Roman" w:cs="Times New Roman"/>
          <w:szCs w:val="21"/>
          <w:lang w:bidi="en-US"/>
        </w:rPr>
        <w:t xml:space="preserve"> and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, respectively.</w:t>
      </w:r>
    </w:p>
    <w:p w14:paraId="0CCD5E6B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lastRenderedPageBreak/>
        <w:t xml:space="preserve">Figure S19.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Symplanella brevicephala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two tandem repeats are shaded yellow and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, respectively. * indicates a mismatch; - indicates an insertion or deletion.</w:t>
      </w:r>
    </w:p>
    <w:p w14:paraId="3DABF71A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S20.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Symplanella unipuncta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two tandem repeats are shaded yellow and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, respectively. * indicates a mismatch; - indicates an insertion or deletion.</w:t>
      </w:r>
    </w:p>
    <w:p w14:paraId="09337E2F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S21.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Augilodes binghami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two tandem repeats are shaded yellow and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, respectively. * indicates a mismatch.</w:t>
      </w:r>
    </w:p>
    <w:p w14:paraId="177C8D78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22. Features present in the AT-rich region of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Cylindratus longicephalus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two tandem repeats are shaded yellow and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. * indicates a mismatch; - indicates an insertion or deletion.</w:t>
      </w:r>
    </w:p>
    <w:p w14:paraId="204BF782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23.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>Caliscelis shandongensis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mitogenome. The tandem repeats are shaded yellow. * indicates a mismatch.</w:t>
      </w:r>
    </w:p>
    <w:p w14:paraId="1D62F192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 xml:space="preserve">Figure 24. Features of the AT-rich region in the </w:t>
      </w:r>
      <w:r w:rsidRPr="00324ABD">
        <w:rPr>
          <w:rFonts w:ascii="Times New Roman" w:hAnsi="Times New Roman" w:cs="Times New Roman"/>
          <w:i/>
          <w:iCs/>
          <w:szCs w:val="21"/>
          <w:lang w:bidi="en-US"/>
        </w:rPr>
        <w:t xml:space="preserve">Peltonotellus 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sp. mitogenome. The two tandem repeats are shaded yellow and </w:t>
      </w:r>
      <w:r>
        <w:rPr>
          <w:rFonts w:ascii="Times New Roman" w:hAnsi="Times New Roman" w:cs="Times New Roman"/>
          <w:szCs w:val="21"/>
          <w:lang w:bidi="en-US"/>
        </w:rPr>
        <w:t>gray</w:t>
      </w:r>
      <w:r w:rsidRPr="00324ABD">
        <w:rPr>
          <w:rFonts w:ascii="Times New Roman" w:hAnsi="Times New Roman" w:cs="Times New Roman"/>
          <w:szCs w:val="21"/>
          <w:lang w:bidi="en-US"/>
        </w:rPr>
        <w:t>. * indicates a mismatch.</w:t>
      </w:r>
    </w:p>
    <w:p w14:paraId="77DA427B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S1 Mitogenomes used in this study</w:t>
      </w:r>
    </w:p>
    <w:p w14:paraId="0B355DBA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S2 The partition schemes and best substitution models used in the phylogenetic analysis.</w:t>
      </w:r>
    </w:p>
    <w:p w14:paraId="1959518F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S3 List of total size and intergenic nucleotides for mitochondrial genes of 12 newly sequenced species with lengths of genes, anticodons of tRNAs, and start/stop codons of protein-coding genes.</w:t>
      </w:r>
    </w:p>
    <w:p w14:paraId="129A9C24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S4 Base composition of 12 mitochondrial whole genome, 13 PCGs, 22 tRNAs, 2 rRNAs</w:t>
      </w:r>
      <w:r>
        <w:rPr>
          <w:rFonts w:ascii="Times New Roman" w:hAnsi="Times New Roman" w:cs="Times New Roman"/>
          <w:szCs w:val="21"/>
          <w:lang w:bidi="en-US"/>
        </w:rPr>
        <w:t>,</w:t>
      </w:r>
      <w:r w:rsidRPr="00324ABD">
        <w:rPr>
          <w:rFonts w:ascii="Times New Roman" w:hAnsi="Times New Roman" w:cs="Times New Roman"/>
          <w:szCs w:val="21"/>
          <w:lang w:bidi="en-US"/>
        </w:rPr>
        <w:t xml:space="preserve"> and Control Region.</w:t>
      </w:r>
    </w:p>
    <w:p w14:paraId="5064C59A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S5 Codon number and RSCU in the 12 mitochondrial PCGs.</w:t>
      </w:r>
    </w:p>
    <w:p w14:paraId="44FD8B72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S6 Summary of multiple alignments of tRNA genes in the mitogenomes of 12 Caliscelidae species.</w:t>
      </w:r>
    </w:p>
    <w:p w14:paraId="4DDB80D6" w14:textId="77777777" w:rsidR="003E324B" w:rsidRPr="00324ABD" w:rsidRDefault="003E324B" w:rsidP="003E324B">
      <w:pPr>
        <w:spacing w:line="360" w:lineRule="auto"/>
        <w:rPr>
          <w:rFonts w:ascii="Times New Roman" w:hAnsi="Times New Roman" w:cs="Times New Roman"/>
          <w:szCs w:val="21"/>
          <w:lang w:bidi="en-US"/>
        </w:rPr>
      </w:pPr>
      <w:r w:rsidRPr="00324ABD">
        <w:rPr>
          <w:rFonts w:ascii="Times New Roman" w:hAnsi="Times New Roman" w:cs="Times New Roman"/>
          <w:szCs w:val="21"/>
          <w:lang w:bidi="en-US"/>
        </w:rPr>
        <w:t>Table S7 Nucleotide diversity (A) and the ratio of Ka/Ks (B) of PCGs from 16 reported Augilini mitogenomes.</w:t>
      </w:r>
    </w:p>
    <w:p w14:paraId="78EA6536" w14:textId="77777777" w:rsidR="003E324B" w:rsidRPr="00AE1F22" w:rsidRDefault="003E324B" w:rsidP="003E324B">
      <w:pPr>
        <w:spacing w:line="360" w:lineRule="auto"/>
        <w:rPr>
          <w:rFonts w:ascii="Times New Roman" w:hAnsi="Times New Roman"/>
        </w:rPr>
      </w:pPr>
    </w:p>
    <w:p w14:paraId="4FC29DFC" w14:textId="77777777" w:rsidR="008E35EF" w:rsidRPr="003E324B" w:rsidRDefault="008E35EF"/>
    <w:sectPr w:rsidR="008E35EF" w:rsidRPr="003E32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7B670" w14:textId="77777777" w:rsidR="00245D7B" w:rsidRDefault="00245D7B" w:rsidP="003E324B">
      <w:r>
        <w:separator/>
      </w:r>
    </w:p>
  </w:endnote>
  <w:endnote w:type="continuationSeparator" w:id="0">
    <w:p w14:paraId="5BB4EBB2" w14:textId="77777777" w:rsidR="00245D7B" w:rsidRDefault="00245D7B" w:rsidP="003E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7B34A" w14:textId="77777777" w:rsidR="00245D7B" w:rsidRDefault="00245D7B" w:rsidP="003E324B">
      <w:r>
        <w:separator/>
      </w:r>
    </w:p>
  </w:footnote>
  <w:footnote w:type="continuationSeparator" w:id="0">
    <w:p w14:paraId="5FD3EFB9" w14:textId="77777777" w:rsidR="00245D7B" w:rsidRDefault="00245D7B" w:rsidP="003E3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25"/>
    <w:rsid w:val="00245D7B"/>
    <w:rsid w:val="00327225"/>
    <w:rsid w:val="003E324B"/>
    <w:rsid w:val="008E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AA452E-D822-4DBD-81EC-D2177D85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24B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2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324B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32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324B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</dc:creator>
  <cp:keywords/>
  <dc:description/>
  <cp:lastModifiedBy>GN</cp:lastModifiedBy>
  <cp:revision>2</cp:revision>
  <dcterms:created xsi:type="dcterms:W3CDTF">2021-06-25T07:03:00Z</dcterms:created>
  <dcterms:modified xsi:type="dcterms:W3CDTF">2021-06-25T07:03:00Z</dcterms:modified>
</cp:coreProperties>
</file>