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等线" w:cs="Times New Roman"/>
          <w:b/>
          <w:bCs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等线" w:cs="Times New Roman"/>
          <w:b/>
          <w:bCs w:val="0"/>
          <w:kern w:val="0"/>
          <w:sz w:val="21"/>
          <w:szCs w:val="21"/>
          <w:lang w:val="en-US" w:eastAsia="zh-CN" w:bidi="ar"/>
        </w:rPr>
        <w:t>Table S 1. Information about the NPR1-like genes in various plants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等线" w:cs="Times New Roman"/>
          <w:b/>
          <w:bCs w:val="0"/>
          <w:kern w:val="0"/>
          <w:sz w:val="21"/>
          <w:szCs w:val="21"/>
          <w:lang w:val="en-US" w:eastAsia="zh-CN" w:bidi="ar"/>
        </w:rPr>
      </w:pPr>
    </w:p>
    <w:tbl>
      <w:tblPr>
        <w:tblStyle w:val="2"/>
        <w:tblW w:w="1014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055"/>
        <w:gridCol w:w="1784"/>
        <w:gridCol w:w="1939"/>
        <w:gridCol w:w="44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Class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Species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Gene name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Accession number/Locus name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DOI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9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 xml:space="preserve"> Monocots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Oryza sativa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OsNPR1/NH1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DQ450948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https://doi.org/10.1111/j.1467-7652.2007.00243.x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OsNPR2/NH2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DQ450949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OsNPR3/NH3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DQ450952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OsNPR5/NH5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DQ450956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Musa acuminata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MNPR1A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DQ925843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https://doi.org/10.1016/j.plaphy.2008.06.007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MNPR1B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EF137717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Gladiolus hybridus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GhNPR1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AIM54370.1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https://doi.org/10.1007/s00299-015-1765-1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Lilium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LhSorNPR1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APG55777.1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https://doi.org/10.1007/s12298-017-0466-3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Triticum aestivum L.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TaNPR1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TraesCS3A02G105400.1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 xml:space="preserve">https:// doi.org/10.3390/ijms20235974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TaNPR2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TraesCS4A02G470500.1_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TaNPR3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TraesCS3A02G298800.1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TaNPR4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TraesCS4A02G294400.1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TaNPR5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TraesCS3A02G489000.1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TaNPR6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TraesCS5A02G134700.2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Dicots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Arabidopsis thaliana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AtNPR1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At1g64280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https://doi.org/10.1111/j.1365-313X.2006.02903.x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AtNPR2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At4g26120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AtNPR3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At5g45110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AtNPR4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At4g19660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AtNPR5/BOP2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At2g41370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AtNPR6/BOP1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At3g57130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Nicotiana tabacum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 xml:space="preserve">NtNPR1 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AAM62410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instrText xml:space="preserve"> HYPERLINK "https://doi.org/10.1046/j.1365-313X.2002.01297.x" </w:instrText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kern w:val="0"/>
                <w:sz w:val="18"/>
                <w:szCs w:val="18"/>
                <w:u w:val="single"/>
                <w:lang w:val="en-US"/>
              </w:rPr>
              <w:t>https://doi.org/10.1046/j.1365-313X.2002.01297.x</w:t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Malus domestica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MdNPR1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ANJ45434.1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"https://doi.org/10.1007/s11295-016-1050-7" </w:instrText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kern w:val="0"/>
                <w:sz w:val="18"/>
                <w:szCs w:val="18"/>
                <w:u w:val="single"/>
                <w:lang w:val="en-US"/>
              </w:rPr>
              <w:t>https://doi.org/10.1007/s11295-016-1050-7</w:t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MdNPR2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KU166913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MdNPR3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ANJ45437.1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MdNPR4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ANJ45438.1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MdNPR5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ANJ45443.1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MdNPR6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ANJ45444.1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MdNPR7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ANJ45440.1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MdNPR8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ANJ45441.1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Vitis vinifera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VvNPR1.1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XP_002281475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"http://doi.org/10.1186/1471-2229-9-54" </w:instrText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kern w:val="0"/>
                <w:sz w:val="18"/>
                <w:szCs w:val="18"/>
                <w:u w:val="single"/>
                <w:lang w:val="en-US"/>
              </w:rPr>
              <w:t>http://doi.org/10.1186/1471-2229-9-54</w:t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VvNPR1.2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XP_003633057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Populus trichocarpa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PtNPR1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XP_002308281.1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"https://doi.org/ 10.1111/jph.12002" </w:instrText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kern w:val="0"/>
                <w:sz w:val="18"/>
                <w:szCs w:val="18"/>
                <w:u w:val="single"/>
                <w:lang w:val="en-US"/>
              </w:rPr>
              <w:t xml:space="preserve">https://doi.org/ 10.1111/jph.12002 </w:t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PtNPR2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XP_002322351.2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PtNPR3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XP_002300863.2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PtNPR4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XP_002307566.2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PtNPR5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XP_002323261.1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PtNPR6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XP_002308905.1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Carica papaya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CpNPR1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AAS55117.1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"http://doi.org/10.1007/s13258-011-0218-7" </w:instrText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kern w:val="0"/>
                <w:sz w:val="18"/>
                <w:szCs w:val="18"/>
                <w:u w:val="single"/>
                <w:lang w:val="en-US"/>
              </w:rPr>
              <w:t xml:space="preserve">http://doi.org/10.1007/s13258-011-0218-7 </w:t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CpNPR2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XP_021890039.1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CpNPR3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XP_021898330.1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CpNPR4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XP_021908418.1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Persea americana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 xml:space="preserve">PaNPR1 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AKH61407.1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"https://doi.org/10.3389/fpls.2015.00300" </w:instrText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kern w:val="0"/>
                <w:sz w:val="18"/>
                <w:szCs w:val="18"/>
                <w:u w:val="single"/>
                <w:lang w:val="en-US"/>
              </w:rPr>
              <w:t xml:space="preserve">https://doi.org/10.3389/fpls.2015.00300 </w:t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PaNPR2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AKH61408.1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PaNPR3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AKH61409.1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PaNPR4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AKH61410.1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PaNPR5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AKH61411.1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Cocos nucifera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CnNPR1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AOW69311.1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"http://doi.org/ 10.1007/s13258-017-0566-z" </w:instrText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kern w:val="0"/>
                <w:sz w:val="18"/>
                <w:szCs w:val="18"/>
                <w:u w:val="single"/>
                <w:lang w:val="en-US"/>
              </w:rPr>
              <w:t>http://doi.org/ 10.1007/s13258-017-0566-z</w:t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CnNPR3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 xml:space="preserve">AMD39572.1 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Glycine max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GmNPR1-1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FJ418595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https://doi.org/10.1186/1471-2229-9-105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GmNPR1-2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FJ418597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Capsicum annuum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CaNPR1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NP_001312028.1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"https://doi.org/10.3724/SP.J.1142.2012.50494" </w:instrText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kern w:val="0"/>
                <w:sz w:val="18"/>
                <w:szCs w:val="18"/>
                <w:u w:val="single"/>
                <w:lang w:val="en-US"/>
              </w:rPr>
              <w:t xml:space="preserve">https://doi.org/10.3724/SP.J.1142.2012.50494 </w:t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Gossypium hirsutum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GhNPR1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EF988657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https://doi.org/10.1042/BSR20070028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Citrus sinensis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NPR1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XP_006475479.1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"http://ddoi.org/10.1007/s10658-010-9633-x" </w:instrText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kern w:val="0"/>
                <w:sz w:val="18"/>
                <w:szCs w:val="18"/>
                <w:u w:val="single"/>
                <w:lang w:val="en-US"/>
              </w:rPr>
              <w:t xml:space="preserve">http://ddoi.org/10.1007/s10658-010-9633-x </w:t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Pyrus pyrifolia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PpNPR1-1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ABK62792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"http://doi.org/10.1080/00949651003724790" </w:instrText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kern w:val="0"/>
                <w:sz w:val="18"/>
                <w:szCs w:val="18"/>
                <w:u w:val="single"/>
                <w:lang w:val="en-US"/>
              </w:rPr>
              <w:t>http://doi.org/10.1080/00949651003724790</w:t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959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Morus multicaulis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 xml:space="preserve">MuNPR1 </w:t>
            </w:r>
          </w:p>
        </w:tc>
        <w:tc>
          <w:tcPr>
            <w:tcW w:w="1938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AGI03909.1</w:t>
            </w:r>
          </w:p>
        </w:tc>
        <w:tc>
          <w:tcPr>
            <w:tcW w:w="4411" w:type="dxa"/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instrText xml:space="preserve"> HYPERLINK "https://doi.org/10.1111/ppl.12889" </w:instrText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kern w:val="0"/>
                <w:sz w:val="18"/>
                <w:szCs w:val="18"/>
                <w:u w:val="single"/>
                <w:lang w:val="en-US"/>
              </w:rPr>
              <w:t>https://doi.org/10.1111/ppl.12889</w:t>
            </w: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MuNPR4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  <w:lang w:val="en-US" w:eastAsia="zh-CN" w:bidi="ar"/>
              </w:rPr>
              <w:t>AGL61506.1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/>
              </w:rPr>
            </w:pPr>
          </w:p>
        </w:tc>
      </w:tr>
    </w:tbl>
    <w:p/>
    <w:p/>
    <w:p/>
    <w:p/>
    <w:p>
      <w:pPr>
        <w:rPr>
          <w:rFonts w:hint="default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Table S 2. </w:t>
      </w:r>
      <w:r>
        <w:rPr>
          <w:rFonts w:hint="eastAsia"/>
          <w:b w:val="0"/>
          <w:bCs w:val="0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</w:rPr>
        <w:t>List of primers used for qRT-PCR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</w:rPr>
        <w:t>analysis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and BiFC vector</w:t>
      </w:r>
      <w:r>
        <w:rPr>
          <w:rFonts w:hint="default" w:ascii="Times New Roman" w:hAnsi="Times New Roman" w:cs="Times New Roman"/>
          <w:b w:val="0"/>
          <w:bCs w:val="0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construct </w:t>
      </w:r>
      <w:r>
        <w:rPr>
          <w:rFonts w:hint="default" w:ascii="Times New Roman" w:hAnsi="Times New Roman" w:cs="Times New Roman"/>
          <w:b w:val="0"/>
          <w:bCs w:val="0"/>
        </w:rPr>
        <w:t>and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</w:rPr>
        <w:t>their sequence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W w:w="7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6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7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inherit" w:cs="Times New Roman"/>
                <w:b/>
                <w:bCs/>
                <w:kern w:val="0"/>
                <w:sz w:val="18"/>
                <w:szCs w:val="18"/>
              </w:rPr>
              <w:t>Gene name</w:t>
            </w:r>
          </w:p>
        </w:tc>
        <w:tc>
          <w:tcPr>
            <w:tcW w:w="625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inherit" w:cs="Times New Roman"/>
                <w:b/>
                <w:bCs/>
                <w:kern w:val="0"/>
                <w:sz w:val="18"/>
                <w:szCs w:val="18"/>
              </w:rPr>
              <w:t>Primer sequence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7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  <w:t>ACTIN</w:t>
            </w:r>
          </w:p>
        </w:tc>
        <w:tc>
          <w:tcPr>
            <w:tcW w:w="625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  <w:t>F</w:t>
            </w:r>
            <w:r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  <w:t xml:space="preserve"> TTGGTATGGGTCAGAAGG  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  <w:t>R</w:t>
            </w:r>
            <w:r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  <w:t xml:space="preserve"> CTGTGAGCAGAACTGGGTG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74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  <w:t>Pbrgene12425</w:t>
            </w:r>
          </w:p>
        </w:tc>
        <w:tc>
          <w:tcPr>
            <w:tcW w:w="625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  <w:t>F</w:t>
            </w:r>
            <w:r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  <w:t xml:space="preserve"> AGGA TACACAGGGC TTTGGATTCG    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  <w:t>R</w:t>
            </w:r>
            <w:r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  <w:t xml:space="preserve"> AACACAGTGT ACCCCCTCGG ATTC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74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  <w:t>Pbrgene8895</w:t>
            </w:r>
          </w:p>
        </w:tc>
        <w:tc>
          <w:tcPr>
            <w:tcW w:w="6252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  <w:t>F:GATACGTCCTTAGGCTATACT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  <w:t>R:GATCAACCAACAACAGCTCCA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674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  <w:t>Pbrgene8896</w:t>
            </w:r>
          </w:p>
        </w:tc>
        <w:tc>
          <w:tcPr>
            <w:tcW w:w="625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  <w:t xml:space="preserve">F: CCCTGGAGCTAATAAACGTGG 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  <w:t>R: CATGGAGATTAACGAGATGGATC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74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  <w:t>Pbrgene8341</w:t>
            </w:r>
          </w:p>
        </w:tc>
        <w:tc>
          <w:tcPr>
            <w:tcW w:w="625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  <w:t>F: GTCCACGTGCGTTGATGATG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  <w:t>R: CTCCACAAAGTTTGAAAGACGG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74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  <w:t>Pbrgene6286</w:t>
            </w:r>
          </w:p>
        </w:tc>
        <w:tc>
          <w:tcPr>
            <w:tcW w:w="625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36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  <w:t>F: GCGGAGACATCTGAGTTTGC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  <w:t>R: CCAGGACTTCCGAGCAATGA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74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  <w:t>Pbrgene34018</w:t>
            </w:r>
          </w:p>
        </w:tc>
        <w:tc>
          <w:tcPr>
            <w:tcW w:w="625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  <w:t>F: TGTACCACCACTCTCACGACT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  <w:t>R: CCACTACCGATTAATTAATCTCCTTAGAC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674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  <w:t>Pbrgene2529</w:t>
            </w:r>
          </w:p>
        </w:tc>
        <w:tc>
          <w:tcPr>
            <w:tcW w:w="625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  <w:t>F</w:t>
            </w:r>
            <w:r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  <w:t xml:space="preserve"> GCGGAGACATCTGAGTTTGC     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  <w:t>R</w:t>
            </w:r>
            <w:r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  <w:t xml:space="preserve"> CCAGGACTTCCGAGCAATGA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74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  <w:t>Pbrgene40077</w:t>
            </w:r>
          </w:p>
        </w:tc>
        <w:tc>
          <w:tcPr>
            <w:tcW w:w="625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  <w:t xml:space="preserve">F: </w:t>
            </w:r>
            <w:r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</w:rPr>
              <w:t>GGGATTGGAAAGGGGAAGATCCC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  <w:t>R: GCATTGCACCTCCGCCGTTGATCTTG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74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Pbrgene12425YFP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F: CAGGCCTGGCGCGCCACTAGTATGGGTGACGATCACTTCGT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inherit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R: ACTATCGATGGATCCACTAGTTTTCTTGATGGTGATCGTAC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74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Pbrgene6286YFP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F: CAGGCCTGGCGCGCCACTAGTATGGCTCATTCAGCCGAACC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R: ACTATCGATGGATCCACTAGTCGGTTCCCTAACCTTCTGAT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74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Pbrgene8895YFP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F: CAGGCCTGGCGCGCCACTAGTATGGCTTATTCAGCTGAACC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R: ACTATCGATGGATCCACTAGTTTTCCTAACCTTCTGATTTG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  <w:t xml:space="preserve"> </w:t>
      </w:r>
    </w:p>
    <w:p>
      <w:pPr>
        <w:rPr>
          <w:rFonts w:hint="default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</w:pPr>
    </w:p>
    <w:p>
      <w:pPr>
        <w:rPr>
          <w:rFonts w:ascii="Arial" w:hAnsi="Arial" w:eastAsia="宋体" w:cs="Arial"/>
          <w:i w:val="0"/>
          <w:caps w:val="0"/>
          <w:color w:val="444444"/>
          <w:spacing w:val="0"/>
          <w:sz w:val="24"/>
          <w:szCs w:val="24"/>
          <w:u w:val="none"/>
          <w:shd w:val="clear" w:fill="FFFFFF"/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  <w:lang w:val="en-US" w:eastAsia="zh-CN"/>
        </w:rPr>
        <w:t>S3.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  <w:t xml:space="preserve"> Analysis and distribution of conserved motifs in </w:t>
      </w:r>
      <w:r>
        <w:rPr>
          <w:rFonts w:hint="eastAsia" w:ascii="Times New Roman" w:hAnsi="Times New Roman" w:eastAsia="宋体" w:cs="Times New Roman"/>
          <w:b/>
          <w:bCs/>
          <w:i/>
          <w:iCs/>
          <w:caps w:val="0"/>
          <w:color w:val="444444"/>
          <w:spacing w:val="0"/>
          <w:sz w:val="18"/>
          <w:szCs w:val="18"/>
          <w:u w:val="none"/>
          <w:shd w:val="clear" w:fill="FFFFFF"/>
          <w:lang w:val="en-US" w:eastAsia="zh-CN"/>
        </w:rPr>
        <w:t>PbrNPR1</w:t>
      </w:r>
      <w:r>
        <w:rPr>
          <w:rFonts w:hint="eastAsia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  <w:lang w:val="en-US" w:eastAsia="zh-CN"/>
        </w:rPr>
        <w:t>-like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  <w:t xml:space="preserve"> proteins.</w:t>
      </w:r>
    </w:p>
    <w:p>
      <w:pPr>
        <w:rPr>
          <w:rFonts w:ascii="Arial" w:hAnsi="Arial" w:eastAsia="宋体" w:cs="Arial"/>
          <w:i w:val="0"/>
          <w:caps w:val="0"/>
          <w:color w:val="444444"/>
          <w:spacing w:val="0"/>
          <w:sz w:val="24"/>
          <w:szCs w:val="24"/>
          <w:u w:val="none"/>
          <w:shd w:val="clear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9"/>
        <w:gridCol w:w="617"/>
        <w:gridCol w:w="732"/>
        <w:gridCol w:w="6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Motif</w:t>
            </w:r>
          </w:p>
        </w:tc>
        <w:tc>
          <w:tcPr>
            <w:tcW w:w="8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P-Value</w:t>
            </w:r>
          </w:p>
        </w:tc>
        <w:tc>
          <w:tcPr>
            <w:tcW w:w="6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Site</w:t>
            </w:r>
          </w:p>
        </w:tc>
        <w:tc>
          <w:tcPr>
            <w:tcW w:w="7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Width</w:t>
            </w:r>
          </w:p>
        </w:tc>
        <w:tc>
          <w:tcPr>
            <w:tcW w:w="6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</w:rPr>
              <w:t>Best possible match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t>2.0e-318</w:t>
            </w:r>
          </w:p>
        </w:tc>
        <w:tc>
          <w:tcPr>
            <w:tcW w:w="6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7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6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</w:rPr>
              <w:t>LDSDDVELVKLLLTESGJTLDEANALHYAVAYCDPKVVKELLELGLADVN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14"/>
                <w:szCs w:val="14"/>
                <w:u w:val="none"/>
                <w:shd w:val="clear" w:fill="FFFFFF"/>
              </w:rPr>
              <w:t>6.3e-289</w:t>
            </w:r>
          </w:p>
        </w:tc>
        <w:tc>
          <w:tcPr>
            <w:tcW w:w="6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7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6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</w:rPr>
              <w:t>RNPRGYTVLHIAAMRKEPSIIVVLLDKGADASELTSDGRTAVDICRRLTR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8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14"/>
                <w:szCs w:val="14"/>
                <w:u w:val="none"/>
                <w:shd w:val="clear" w:fill="FFFFFF"/>
              </w:rPr>
              <w:t>7.4e-237</w:t>
            </w:r>
          </w:p>
        </w:tc>
        <w:tc>
          <w:tcPr>
            <w:tcW w:w="6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7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6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</w:rPr>
              <w:t>CVDDGCAHDACRPAIDFAVELLYASSVFQVPELVSLFQRQL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8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14"/>
                <w:szCs w:val="14"/>
                <w:u w:val="none"/>
                <w:shd w:val="clear" w:fill="FFFFFF"/>
              </w:rPr>
              <w:t>2.2e-152</w:t>
            </w:r>
          </w:p>
        </w:tc>
        <w:tc>
          <w:tcPr>
            <w:tcW w:w="6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7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44</w:t>
            </w:r>
          </w:p>
        </w:tc>
        <w:tc>
          <w:tcPr>
            <w:tcW w:w="6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</w:rPr>
              <w:t>GSSGNLTEVDLNETPFVQTKRLLSRLEALMKTVELGRRYFPHCS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8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14"/>
                <w:szCs w:val="14"/>
                <w:u w:val="none"/>
                <w:shd w:val="clear" w:fill="FFFFFF"/>
              </w:rPr>
              <w:t>1.5e-140</w:t>
            </w:r>
          </w:p>
        </w:tc>
        <w:tc>
          <w:tcPr>
            <w:tcW w:w="6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7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6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</w:rPr>
              <w:t>GRPVGVHRCILAARSLFFRELFK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8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14"/>
                <w:szCs w:val="14"/>
                <w:u w:val="none"/>
                <w:shd w:val="clear" w:fill="FFFFFF"/>
              </w:rPr>
              <w:t>8.0e-178</w:t>
            </w:r>
          </w:p>
        </w:tc>
        <w:tc>
          <w:tcPr>
            <w:tcW w:w="6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7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6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</w:rPr>
              <w:t>KPKYQMSELLPYGSVGYEAFLVFLSYLYSGKLKPVPKEVST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8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14"/>
                <w:szCs w:val="14"/>
                <w:u w:val="none"/>
                <w:shd w:val="clear" w:fill="FFFFFF"/>
              </w:rPr>
              <w:t>2.1e-183</w:t>
            </w:r>
          </w:p>
        </w:tc>
        <w:tc>
          <w:tcPr>
            <w:tcW w:w="6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7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6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</w:rPr>
              <w:t>HCDLHQLLDQCIERVAKSDLDPESJEKELPIEVVKKIKELR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8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14"/>
                <w:szCs w:val="14"/>
                <w:u w:val="none"/>
                <w:shd w:val="clear" w:fill="FFFFFF"/>
              </w:rPr>
              <w:t>4.0e-162</w:t>
            </w:r>
          </w:p>
        </w:tc>
        <w:tc>
          <w:tcPr>
            <w:tcW w:w="6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7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6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</w:rPr>
              <w:t>EREMRRNPMAGDASISSQIMPDDLHMRLLYLENRVALARLLFPAEAKLAM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8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14"/>
                <w:szCs w:val="14"/>
                <w:u w:val="none"/>
                <w:shd w:val="clear" w:fill="FFFFFF"/>
              </w:rPr>
              <w:t>1.9e-126</w:t>
            </w:r>
          </w:p>
        </w:tc>
        <w:tc>
          <w:tcPr>
            <w:tcW w:w="6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7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6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</w:rPr>
              <w:t>PDLFYLEPGTTEERRNKRRRYLELKEDVQKAFSKDK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8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sz w:val="14"/>
                <w:szCs w:val="14"/>
                <w:u w:val="none"/>
                <w:shd w:val="clear" w:fill="FFFFFF"/>
              </w:rPr>
              <w:t>4.1e-053</w:t>
            </w:r>
          </w:p>
        </w:tc>
        <w:tc>
          <w:tcPr>
            <w:tcW w:w="6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7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6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18"/>
                <w:szCs w:val="18"/>
                <w:u w:val="none"/>
                <w:shd w:val="clear" w:fill="FFFFFF"/>
                <w:vertAlign w:val="baseline"/>
              </w:rPr>
              <w:t>NFVEKALIEDVLPIL</w:t>
            </w:r>
          </w:p>
        </w:tc>
      </w:tr>
    </w:tbl>
    <w:p>
      <w:pPr>
        <w:rPr>
          <w:rFonts w:hint="default" w:ascii="Arial" w:hAnsi="Arial" w:eastAsia="宋体" w:cs="Arial"/>
          <w:i w:val="0"/>
          <w:caps w:val="0"/>
          <w:color w:val="444444"/>
          <w:spacing w:val="0"/>
          <w:sz w:val="24"/>
          <w:szCs w:val="24"/>
          <w:u w:val="none"/>
          <w:shd w:val="clear" w:fill="FFFFFF"/>
        </w:rPr>
      </w:pPr>
    </w:p>
    <w:p>
      <w:pPr>
        <w:rPr>
          <w:rFonts w:hint="default" w:ascii="Arial" w:hAnsi="Arial" w:eastAsia="宋体" w:cs="Arial"/>
          <w:i w:val="0"/>
          <w:caps w:val="0"/>
          <w:color w:val="444444"/>
          <w:spacing w:val="0"/>
          <w:sz w:val="24"/>
          <w:szCs w:val="24"/>
          <w:u w:val="none"/>
          <w:shd w:val="clear" w:fill="FFFFFF"/>
        </w:rPr>
      </w:pPr>
    </w:p>
    <w:p>
      <w:pPr>
        <w:rPr>
          <w:rFonts w:hint="default" w:ascii="Times New Roman" w:hAnsi="Times New Roman" w:eastAsia="宋体" w:cs="Times New Roman"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  <w:t xml:space="preserve"> Fig</w:t>
      </w:r>
      <w:r>
        <w:rPr>
          <w:rFonts w:hint="eastAsia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  <w:t>. 1:</w:t>
      </w:r>
      <w:r>
        <w:rPr>
          <w:rFonts w:hint="default" w:ascii="Times New Roman" w:hAnsi="Times New Roman" w:eastAsia="宋体" w:cs="Times New Roman"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  <w:t xml:space="preserve"> Logo of ten conserved motifs of </w:t>
      </w:r>
      <w:r>
        <w:rPr>
          <w:rFonts w:hint="default" w:ascii="Times New Roman" w:hAnsi="Times New Roman" w:eastAsia="宋体" w:cs="Times New Roman"/>
          <w:i w:val="0"/>
          <w:caps w:val="0"/>
          <w:color w:val="444444"/>
          <w:spacing w:val="0"/>
          <w:sz w:val="18"/>
          <w:szCs w:val="18"/>
          <w:u w:val="none"/>
          <w:shd w:val="clear" w:fill="FFFFFF"/>
          <w:lang w:val="en-US" w:eastAsia="zh-CN"/>
        </w:rPr>
        <w:t>PbrNPR1-like</w:t>
      </w:r>
      <w:r>
        <w:rPr>
          <w:rFonts w:hint="default" w:ascii="Times New Roman" w:hAnsi="Times New Roman" w:eastAsia="宋体" w:cs="Times New Roman"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  <w:t xml:space="preserve"> proteins obtained through MEME online server</w:t>
      </w:r>
    </w:p>
    <w:p>
      <w:pPr>
        <w:rPr>
          <w:rFonts w:hint="default" w:ascii="Arial" w:hAnsi="Arial" w:eastAsia="宋体" w:cs="Arial"/>
          <w:i w:val="0"/>
          <w:caps w:val="0"/>
          <w:color w:val="444444"/>
          <w:spacing w:val="0"/>
          <w:sz w:val="24"/>
          <w:szCs w:val="24"/>
          <w:u w:val="none"/>
          <w:shd w:val="clear" w:fill="FFFFFF"/>
        </w:rPr>
      </w:pPr>
    </w:p>
    <w:p>
      <w:pPr>
        <w:rPr>
          <w:rFonts w:hint="default" w:ascii="Arial" w:hAnsi="Arial" w:eastAsia="宋体" w:cs="Arial"/>
          <w:i w:val="0"/>
          <w:caps w:val="0"/>
          <w:color w:val="444444"/>
          <w:spacing w:val="0"/>
          <w:sz w:val="24"/>
          <w:szCs w:val="24"/>
          <w:u w:val="none"/>
          <w:shd w:val="clear" w:fill="FFFFFF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30480</wp:posOffset>
            </wp:positionV>
            <wp:extent cx="5120640" cy="4048125"/>
            <wp:effectExtent l="0" t="0" r="0" b="5715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Arial" w:hAnsi="Arial" w:eastAsia="宋体" w:cs="Arial"/>
          <w:i w:val="0"/>
          <w:caps w:val="0"/>
          <w:color w:val="444444"/>
          <w:spacing w:val="0"/>
          <w:sz w:val="24"/>
          <w:szCs w:val="24"/>
          <w:u w:val="none"/>
          <w:shd w:val="clear" w:fill="FFFFFF"/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</w:pPr>
      <w:bookmarkStart w:id="0" w:name="_GoBack"/>
      <w:bookmarkEnd w:id="0"/>
    </w:p>
    <w:p>
      <w:pPr>
        <w:rPr>
          <w:rFonts w:hint="default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  <w:lang w:val="en-US" w:eastAsia="zh-CN"/>
        </w:rPr>
        <w:t>S4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  <w:t xml:space="preserve">: 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  <w:t>Putative cis-elements identified in</w:t>
      </w: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sz w:val="18"/>
          <w:szCs w:val="18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aps w:val="0"/>
          <w:color w:val="444444"/>
          <w:spacing w:val="0"/>
          <w:sz w:val="18"/>
          <w:szCs w:val="18"/>
          <w:u w:val="none"/>
          <w:shd w:val="clear" w:fill="FFFFFF"/>
          <w:lang w:val="en-US" w:eastAsia="zh-CN"/>
        </w:rPr>
        <w:t>PbrNPR1-like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444444"/>
          <w:spacing w:val="0"/>
          <w:sz w:val="18"/>
          <w:szCs w:val="18"/>
          <w:u w:val="none"/>
          <w:shd w:val="clear" w:fill="FFFFFF"/>
        </w:rPr>
        <w:t xml:space="preserve"> genes using PlantCARE database </w:t>
      </w:r>
    </w:p>
    <w:p>
      <w:pPr>
        <w:rPr>
          <w:rFonts w:hint="default" w:ascii="Arial" w:hAnsi="Arial" w:eastAsia="宋体" w:cs="Arial"/>
          <w:i w:val="0"/>
          <w:caps w:val="0"/>
          <w:color w:val="444444"/>
          <w:spacing w:val="0"/>
          <w:sz w:val="24"/>
          <w:szCs w:val="24"/>
          <w:u w:val="none"/>
          <w:shd w:val="clear" w:fill="FFFFFF"/>
        </w:rPr>
      </w:pPr>
    </w:p>
    <w:tbl>
      <w:tblPr>
        <w:tblStyle w:val="2"/>
        <w:tblW w:w="100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2292"/>
        <w:gridCol w:w="63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Element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equence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Function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ABRE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ACGTG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cis-acting element involved in the abscisic acid responsiveness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AE-box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AGAAACTT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part of a module for light response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ARE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AAACCA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cis-acting regulatory element essential for the anaerobic induction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ATCT-motif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AATCTAATCC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part of a conserved DNA module involved in light responsiveness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Box 4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ATTAAT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part of a conserved DNA module involved in light responsiveness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CGTCA-motif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CGTCA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cis-acting regulatory element involved in the MeJA-responsiveness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G-Box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CACGTT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cis-acting regulatory element involved in light responsiveness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GARE-motif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TCTGTTG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gibberellin-responsive element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GATA-motif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GATAGGA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part of a light responsive element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GT1-motif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GGTTAA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light responsive element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I-box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gGATAAGGTG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part of a light responsive element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LTR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CCGAAA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cis-acting element involved in low-temperature responsiveness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MBS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aaaAaaC(G/C)GTTA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MYB binding site involved in drought-inducibility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MRE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AACCTAA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MYB binding site involved in light responsiveness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MYB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TAACCA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MYB binding site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MYC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CATTTG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MYBCbinding site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O2-site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GATGA(C/T)(A/G)TG(A/G)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cis-acting regulatory element involved in zein metabolism regulation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P-box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CCTTTTG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gibberellin-responsive element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STRE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AGGGG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2E3033"/>
                <w:spacing w:val="0"/>
                <w:sz w:val="18"/>
                <w:szCs w:val="18"/>
                <w:shd w:val="clear" w:fill="F9FBFC"/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2E3033"/>
                <w:spacing w:val="0"/>
                <w:sz w:val="18"/>
                <w:szCs w:val="18"/>
                <w:shd w:val="clear" w:fill="F9FBFC"/>
              </w:rPr>
              <w:t>ressure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2E3033"/>
                <w:spacing w:val="0"/>
                <w:sz w:val="18"/>
                <w:szCs w:val="18"/>
                <w:shd w:val="clear" w:fill="F9FBFC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2E3033"/>
                <w:spacing w:val="0"/>
                <w:sz w:val="18"/>
                <w:szCs w:val="18"/>
                <w:shd w:val="clear" w:fill="F9FBFC"/>
              </w:rPr>
              <w:t>responsiv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2E3033"/>
                <w:spacing w:val="0"/>
                <w:sz w:val="18"/>
                <w:szCs w:val="18"/>
                <w:shd w:val="clear" w:fill="F9FBFC"/>
                <w:lang w:val="en-US" w:eastAsia="zh-CN"/>
              </w:rPr>
              <w:t>ness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TATC-box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TATCCCA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cis-acting element involved in gibberellin-responsiveness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TC-rich repeats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GTTTTCTTAC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cis-acting element involved in defense and stress responsiveness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TCA-element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TCATCTTCAT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cis-acting element involved in salicylic acid responsiveness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TCCC-motif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TCTCCCT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part of a light responsive element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TCT-motif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TCTTAC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part of a light responsive element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TGA-element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AACGAC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auxin-responsive element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TGACG-motif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TGACG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cis-acting regulatory element involved in the MeJA-responsiveness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 box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TTGACC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fungal elicitor responsive element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WUN-motif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AAATTTCCT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wound-responsive element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as-1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TGACG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Disease-associated protein binding sites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circadian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CAAAGATATC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cis-acting regulatory element involved in circadian control</w:t>
            </w:r>
          </w:p>
        </w:tc>
      </w:tr>
    </w:tbl>
    <w:p>
      <w:pPr>
        <w:rPr>
          <w:rFonts w:hint="default" w:ascii="Arial" w:hAnsi="Arial" w:eastAsia="宋体" w:cs="Arial"/>
          <w:i w:val="0"/>
          <w:caps w:val="0"/>
          <w:color w:val="444444"/>
          <w:spacing w:val="0"/>
          <w:sz w:val="24"/>
          <w:szCs w:val="24"/>
          <w:u w:val="none"/>
          <w:shd w:val="clear" w:fill="FFFFFF"/>
        </w:rPr>
      </w:pPr>
    </w:p>
    <w:sectPr>
      <w:pgSz w:w="12240" w:h="15840"/>
      <w:pgMar w:top="1440" w:right="1080" w:bottom="1440" w:left="108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C74166"/>
    <w:rsid w:val="149528F8"/>
    <w:rsid w:val="2C426162"/>
    <w:rsid w:val="2EB61B0D"/>
    <w:rsid w:val="30DE3BEE"/>
    <w:rsid w:val="39E36F41"/>
    <w:rsid w:val="3E3E7FAE"/>
    <w:rsid w:val="42676CF7"/>
    <w:rsid w:val="527D3EC0"/>
    <w:rsid w:val="54A64373"/>
    <w:rsid w:val="5E14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954F72"/>
      <w:u w:val="single"/>
    </w:rPr>
  </w:style>
  <w:style w:type="character" w:styleId="6">
    <w:name w:val="Hyperlink"/>
    <w:basedOn w:val="4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2020-08-05T11:23:00Z</dcterms:created>
  <dc:creator>dudu</dc:creator>
  <cp:lastModifiedBy>ζ潹屿煖茪ζ</cp:lastModifiedBy>
  <dcterms:modified xsi:type="dcterms:W3CDTF">2021-04-05T20:04:17Z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F38C572268FA43B48EA457E6F87DBF1B</vt:lpwstr>
  </property>
</Properties>
</file>