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>
      <w:pPr>
        <w:rPr>
          <w:rFonts w:ascii="Times" w:hAnsi="Times" w:cs="Times"/>
          <w:sz w:val="24"/>
          <w:szCs w:val="24"/>
        </w:rPr>
      </w:pPr>
    </w:p>
    <w:tbl>
      <w:tblPr>
        <w:tblStyle w:val="Estilo1"/>
        <w:tblW w:w="389.30pt" w:type="dxa"/>
        <w:jc w:val="center"/>
        <w:tblLook w:firstRow="1" w:lastRow="0" w:firstColumn="1" w:lastColumn="0" w:noHBand="0" w:noVBand="1"/>
      </w:tblPr>
      <w:tblGrid>
        <w:gridCol w:w="1603"/>
        <w:gridCol w:w="977"/>
        <w:gridCol w:w="979"/>
        <w:gridCol w:w="1287"/>
        <w:gridCol w:w="1470"/>
        <w:gridCol w:w="1470"/>
      </w:tblGrid>
      <w:tr>
        <w:trPr>
          <w:jc w:val="center"/>
        </w:trPr>
        <w:tc>
          <w:tcPr>
            <w:tcW w:w="80.15pt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Photocatalyst</w:t>
            </w:r>
          </w:p>
        </w:tc>
        <w:tc>
          <w:tcPr>
            <w:tcW w:w="48.85pt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noProof/>
                <w:sz w:val="24"/>
                <w:szCs w:val="24"/>
              </w:rPr>
              <w:t>χ</w:t>
            </w:r>
            <w:r>
              <w:rPr>
                <w:rFonts w:ascii="Times" w:hAnsi="Times" w:cs="Times"/>
                <w:b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8.95pt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S*</w:t>
            </w:r>
          </w:p>
        </w:tc>
        <w:tc>
          <w:tcPr>
            <w:tcW w:w="64.35pt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" w:hAnsi="Times" w:cs="Times"/>
                <w:b/>
                <w:sz w:val="24"/>
                <w:szCs w:val="24"/>
                <w:vertAlign w:val="subscript"/>
                <w:lang w:val="en-US"/>
              </w:rPr>
              <w:t>Bragg</w:t>
            </w:r>
            <w:proofErr w:type="spellEnd"/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/%</w:t>
            </w:r>
            <w:r>
              <w:rPr>
                <w:rFonts w:ascii="Times" w:hAnsi="Times" w:cs="Times"/>
                <w:b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73.50pt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Default"/>
              <w:jc w:val="center"/>
              <w:rPr>
                <w:rFonts w:ascii="Times" w:hAnsi="Times" w:cs="Times"/>
                <w:b/>
                <w:color w:val="auto"/>
                <w:lang w:val="en-US"/>
              </w:rPr>
            </w:pPr>
            <w:r>
              <w:rPr>
                <w:rFonts w:ascii="Times" w:hAnsi="Times" w:cs="Times"/>
                <w:b/>
                <w:color w:val="auto"/>
                <w:lang w:val="en-US"/>
              </w:rPr>
              <w:t>Crystallite size (nm)</w:t>
            </w:r>
          </w:p>
        </w:tc>
        <w:tc>
          <w:tcPr>
            <w:tcW w:w="73.50pt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Default"/>
              <w:jc w:val="center"/>
              <w:rPr>
                <w:rFonts w:ascii="Times" w:hAnsi="Times" w:cs="Times"/>
                <w:b/>
                <w:color w:val="auto"/>
                <w:lang w:val="en-US"/>
              </w:rPr>
            </w:pPr>
            <w:r>
              <w:rPr>
                <w:rFonts w:ascii="Times" w:hAnsi="Times" w:cs="Times"/>
                <w:b/>
                <w:color w:val="auto"/>
                <w:lang w:val="en-US"/>
              </w:rPr>
              <w:t>Phase composition (%)</w:t>
            </w:r>
          </w:p>
        </w:tc>
      </w:tr>
      <w:tr>
        <w:trPr>
          <w:jc w:val="center"/>
        </w:trPr>
        <w:tc>
          <w:tcPr>
            <w:tcW w:w="80.15pt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TiO</w:t>
            </w:r>
            <w:r>
              <w:rPr>
                <w:rFonts w:ascii="Times" w:hAnsi="Times" w:cs="Times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" w:hAnsi="Times" w:cs="Times"/>
                <w:sz w:val="24"/>
                <w:szCs w:val="24"/>
                <w:lang w:val="en-US"/>
              </w:rPr>
              <w:t>G1HT</w:t>
            </w:r>
          </w:p>
        </w:tc>
        <w:tc>
          <w:tcPr>
            <w:tcW w:w="48.85pt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1.98</w:t>
            </w:r>
          </w:p>
        </w:tc>
        <w:tc>
          <w:tcPr>
            <w:tcW w:w="48.95pt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1.40</w:t>
            </w:r>
          </w:p>
        </w:tc>
        <w:tc>
          <w:tcPr>
            <w:tcW w:w="64.35pt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1.58 (A)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3.58 (B)</w:t>
            </w:r>
          </w:p>
        </w:tc>
        <w:tc>
          <w:tcPr>
            <w:tcW w:w="73.50pt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val="en-US" w:eastAsia="pt-BR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pt-BR"/>
              </w:rPr>
              <w:t>6 ± 1</w:t>
            </w:r>
          </w:p>
        </w:tc>
        <w:tc>
          <w:tcPr>
            <w:tcW w:w="73.50pt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val="en-US" w:eastAsia="pt-BR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pt-BR"/>
              </w:rPr>
              <w:t>81.40(A)</w:t>
            </w:r>
          </w:p>
          <w:p>
            <w:pPr>
              <w:pStyle w:val="Default"/>
              <w:jc w:val="center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</w:rPr>
              <w:t>18.60(B)</w:t>
            </w:r>
          </w:p>
        </w:tc>
      </w:tr>
      <w:tr>
        <w:trPr>
          <w:jc w:val="center"/>
        </w:trPr>
        <w:tc>
          <w:tcPr>
            <w:tcW w:w="80.1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TiO</w:t>
            </w:r>
            <w:r>
              <w:rPr>
                <w:rFonts w:ascii="Times" w:hAnsi="Times" w:cs="Times"/>
                <w:sz w:val="24"/>
                <w:szCs w:val="24"/>
                <w:vertAlign w:val="subscript"/>
              </w:rPr>
              <w:t>2</w:t>
            </w:r>
            <w:r>
              <w:rPr>
                <w:rFonts w:ascii="Times" w:hAnsi="Times" w:cs="Times"/>
                <w:sz w:val="24"/>
                <w:szCs w:val="24"/>
              </w:rPr>
              <w:t>G2HT</w:t>
            </w:r>
          </w:p>
        </w:tc>
        <w:tc>
          <w:tcPr>
            <w:tcW w:w="48.85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2.17</w:t>
            </w:r>
          </w:p>
        </w:tc>
        <w:tc>
          <w:tcPr>
            <w:tcW w:w="48.9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1.47</w:t>
            </w:r>
          </w:p>
        </w:tc>
        <w:tc>
          <w:tcPr>
            <w:tcW w:w="64.35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2.51 (A)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3.55 (B)</w:t>
            </w:r>
          </w:p>
        </w:tc>
        <w:tc>
          <w:tcPr>
            <w:tcW w:w="73.50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6 ± 1</w:t>
            </w:r>
          </w:p>
        </w:tc>
        <w:tc>
          <w:tcPr>
            <w:tcW w:w="73.50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80.08(A)</w:t>
            </w:r>
          </w:p>
          <w:p>
            <w:pPr>
              <w:pStyle w:val="Default"/>
              <w:jc w:val="center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</w:rPr>
              <w:t>19.92(B)</w:t>
            </w:r>
          </w:p>
        </w:tc>
      </w:tr>
      <w:tr>
        <w:trPr>
          <w:jc w:val="center"/>
        </w:trPr>
        <w:tc>
          <w:tcPr>
            <w:tcW w:w="80.1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TiO</w:t>
            </w:r>
            <w:r>
              <w:rPr>
                <w:rFonts w:ascii="Times" w:hAnsi="Times" w:cs="Times"/>
                <w:sz w:val="24"/>
                <w:szCs w:val="24"/>
                <w:vertAlign w:val="subscript"/>
              </w:rPr>
              <w:t>2</w:t>
            </w:r>
            <w:r>
              <w:rPr>
                <w:rFonts w:ascii="Times" w:hAnsi="Times" w:cs="Times"/>
                <w:sz w:val="24"/>
                <w:szCs w:val="24"/>
              </w:rPr>
              <w:t>G3HT</w:t>
            </w:r>
          </w:p>
        </w:tc>
        <w:tc>
          <w:tcPr>
            <w:tcW w:w="48.85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2.01</w:t>
            </w:r>
          </w:p>
        </w:tc>
        <w:tc>
          <w:tcPr>
            <w:tcW w:w="48.9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1.42</w:t>
            </w:r>
          </w:p>
        </w:tc>
        <w:tc>
          <w:tcPr>
            <w:tcW w:w="64.35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1.89 (A)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4.17 (B)</w:t>
            </w:r>
          </w:p>
        </w:tc>
        <w:tc>
          <w:tcPr>
            <w:tcW w:w="73.50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6 ± 2</w:t>
            </w:r>
          </w:p>
        </w:tc>
        <w:tc>
          <w:tcPr>
            <w:tcW w:w="73.50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79.49(A)</w:t>
            </w:r>
          </w:p>
          <w:p>
            <w:pPr>
              <w:pStyle w:val="Default"/>
              <w:jc w:val="center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</w:rPr>
              <w:t>20.51(B)</w:t>
            </w:r>
          </w:p>
        </w:tc>
      </w:tr>
      <w:tr>
        <w:trPr>
          <w:jc w:val="center"/>
        </w:trPr>
        <w:tc>
          <w:tcPr>
            <w:tcW w:w="80.1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TiO</w:t>
            </w:r>
            <w:r>
              <w:rPr>
                <w:rFonts w:ascii="Times" w:hAnsi="Times" w:cs="Times"/>
                <w:sz w:val="24"/>
                <w:szCs w:val="24"/>
                <w:vertAlign w:val="subscript"/>
              </w:rPr>
              <w:t>2</w:t>
            </w:r>
            <w:r>
              <w:rPr>
                <w:rFonts w:ascii="Times" w:hAnsi="Times" w:cs="Times"/>
                <w:sz w:val="24"/>
                <w:szCs w:val="24"/>
              </w:rPr>
              <w:t>G1M</w:t>
            </w:r>
          </w:p>
        </w:tc>
        <w:tc>
          <w:tcPr>
            <w:tcW w:w="48.85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1.84</w:t>
            </w:r>
          </w:p>
        </w:tc>
        <w:tc>
          <w:tcPr>
            <w:tcW w:w="48.9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1.36</w:t>
            </w:r>
          </w:p>
        </w:tc>
        <w:tc>
          <w:tcPr>
            <w:tcW w:w="64.3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1.21</w:t>
            </w:r>
          </w:p>
        </w:tc>
        <w:tc>
          <w:tcPr>
            <w:tcW w:w="73.50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18 ± 2</w:t>
            </w:r>
          </w:p>
        </w:tc>
        <w:tc>
          <w:tcPr>
            <w:tcW w:w="73.50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100.00 (A)</w:t>
            </w:r>
          </w:p>
        </w:tc>
      </w:tr>
      <w:tr>
        <w:trPr>
          <w:jc w:val="center"/>
        </w:trPr>
        <w:tc>
          <w:tcPr>
            <w:tcW w:w="80.1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TiO</w:t>
            </w:r>
            <w:r>
              <w:rPr>
                <w:rFonts w:ascii="Times" w:hAnsi="Times" w:cs="Times"/>
                <w:sz w:val="24"/>
                <w:szCs w:val="24"/>
                <w:vertAlign w:val="subscript"/>
              </w:rPr>
              <w:t>2</w:t>
            </w:r>
            <w:r>
              <w:rPr>
                <w:rFonts w:ascii="Times" w:hAnsi="Times" w:cs="Times"/>
                <w:sz w:val="24"/>
                <w:szCs w:val="24"/>
              </w:rPr>
              <w:t>G2M</w:t>
            </w:r>
          </w:p>
        </w:tc>
        <w:tc>
          <w:tcPr>
            <w:tcW w:w="48.85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1.96</w:t>
            </w:r>
          </w:p>
        </w:tc>
        <w:tc>
          <w:tcPr>
            <w:tcW w:w="48.9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1.40</w:t>
            </w:r>
          </w:p>
        </w:tc>
        <w:tc>
          <w:tcPr>
            <w:tcW w:w="64.35pt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2.36</w:t>
            </w:r>
          </w:p>
        </w:tc>
        <w:tc>
          <w:tcPr>
            <w:tcW w:w="73.50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13 ± 2</w:t>
            </w:r>
          </w:p>
        </w:tc>
        <w:tc>
          <w:tcPr>
            <w:tcW w:w="73.50pt" w:type="dxa"/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100.00 (A)</w:t>
            </w:r>
          </w:p>
        </w:tc>
      </w:tr>
      <w:tr>
        <w:trPr>
          <w:jc w:val="center"/>
        </w:trPr>
        <w:tc>
          <w:tcPr>
            <w:tcW w:w="80.15pt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TiO</w:t>
            </w:r>
            <w:r>
              <w:rPr>
                <w:rFonts w:ascii="Times" w:hAnsi="Times" w:cs="Times"/>
                <w:sz w:val="24"/>
                <w:szCs w:val="24"/>
                <w:vertAlign w:val="subscript"/>
              </w:rPr>
              <w:t>2</w:t>
            </w:r>
            <w:r>
              <w:rPr>
                <w:rFonts w:ascii="Times" w:hAnsi="Times" w:cs="Times"/>
                <w:sz w:val="24"/>
                <w:szCs w:val="24"/>
              </w:rPr>
              <w:t>G3M</w:t>
            </w:r>
          </w:p>
        </w:tc>
        <w:tc>
          <w:tcPr>
            <w:tcW w:w="48.85pt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1.78</w:t>
            </w:r>
          </w:p>
        </w:tc>
        <w:tc>
          <w:tcPr>
            <w:tcW w:w="48.95pt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1.33</w:t>
            </w:r>
          </w:p>
        </w:tc>
        <w:tc>
          <w:tcPr>
            <w:tcW w:w="64.35pt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1.16 (A)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2.22 (B)</w:t>
            </w:r>
          </w:p>
        </w:tc>
        <w:tc>
          <w:tcPr>
            <w:tcW w:w="73.50pt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11 ± 2</w:t>
            </w:r>
          </w:p>
        </w:tc>
        <w:tc>
          <w:tcPr>
            <w:tcW w:w="73.50pt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lang w:eastAsia="pt-BR"/>
              </w:rPr>
              <w:t>82.53(A) 17.47(B)</w:t>
            </w:r>
          </w:p>
        </w:tc>
      </w:tr>
    </w:tbl>
    <w:p>
      <w:pPr>
        <w:autoSpaceDE w:val="0"/>
        <w:autoSpaceDN w:val="0"/>
        <w:adjustRightInd w:val="0"/>
        <w:spacing w:after="0pt" w:line="12pt" w:lineRule="auto"/>
        <w:ind w:start="42.55pt" w:end="21.20pt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* Factor S - Goodness of </w:t>
      </w:r>
      <w:proofErr w:type="gramStart"/>
      <w:r>
        <w:rPr>
          <w:rFonts w:ascii="Times" w:hAnsi="Times" w:cs="Times"/>
          <w:sz w:val="24"/>
          <w:szCs w:val="24"/>
          <w:lang w:val="en-US"/>
        </w:rPr>
        <w:t>Fit;</w:t>
      </w:r>
      <w:proofErr w:type="gramEnd"/>
    </w:p>
    <w:p>
      <w:pPr>
        <w:autoSpaceDE w:val="0"/>
        <w:autoSpaceDN w:val="0"/>
        <w:adjustRightInd w:val="0"/>
        <w:spacing w:after="0pt" w:line="12pt" w:lineRule="auto"/>
        <w:ind w:start="42.55pt" w:end="21.20pt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vertAlign w:val="superscript"/>
          <w:lang w:val="en-US"/>
        </w:rPr>
        <w:t>a</w:t>
      </w:r>
      <w:r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>
        <w:rPr>
          <w:rFonts w:ascii="Times" w:hAnsi="Times" w:cs="Times"/>
          <w:sz w:val="24"/>
          <w:szCs w:val="24"/>
          <w:lang w:val="en-US"/>
        </w:rPr>
        <w:t>R</w:t>
      </w:r>
      <w:r>
        <w:rPr>
          <w:rFonts w:ascii="Times" w:hAnsi="Times" w:cs="Times"/>
          <w:sz w:val="24"/>
          <w:szCs w:val="24"/>
          <w:vertAlign w:val="subscript"/>
          <w:lang w:val="en-US"/>
        </w:rPr>
        <w:t>Bragg</w:t>
      </w:r>
      <w:proofErr w:type="spellEnd"/>
      <w:r>
        <w:rPr>
          <w:rFonts w:ascii="Times" w:hAnsi="Times" w:cs="Times"/>
          <w:sz w:val="24"/>
          <w:szCs w:val="24"/>
          <w:lang w:val="en-US"/>
        </w:rPr>
        <w:t xml:space="preserve"> - Bragg Factor.</w:t>
      </w:r>
    </w:p>
    <w:p>
      <w:pPr>
        <w:autoSpaceDE w:val="0"/>
        <w:autoSpaceDN w:val="0"/>
        <w:adjustRightInd w:val="0"/>
        <w:spacing w:after="0pt" w:line="12pt" w:lineRule="auto"/>
        <w:ind w:start="42.55pt" w:end="21.20pt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Where: (A) is anatase and (B) is brookite.</w:t>
      </w:r>
    </w:p>
    <w:p>
      <w:pPr>
        <w:rPr>
          <w:rFonts w:ascii="Times" w:hAnsi="Times" w:cs="Times"/>
          <w:sz w:val="24"/>
          <w:szCs w:val="24"/>
        </w:rPr>
      </w:pPr>
    </w:p>
    <w:sectPr>
      <w:pgSz w:w="612.35pt" w:h="793.8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revisionView w:comments="0" w:insDel="0" w:formatting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B00F37-3F88-49A4-BCA8-22CD89E137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4">
    <w:name w:val="A14"/>
    <w:uiPriority w:val="99"/>
    <w:rPr>
      <w:color w:val="000000"/>
      <w:sz w:val="9"/>
      <w:szCs w:val="9"/>
    </w:rPr>
  </w:style>
  <w:style w:type="character" w:customStyle="1" w:styleId="A13">
    <w:name w:val="A13"/>
    <w:uiPriority w:val="99"/>
    <w:rPr>
      <w:color w:val="000000"/>
      <w:sz w:val="9"/>
      <w:szCs w:val="9"/>
    </w:rPr>
  </w:style>
  <w:style w:type="paragraph" w:customStyle="1" w:styleId="Pa11">
    <w:name w:val="Pa11"/>
    <w:basedOn w:val="Normal"/>
    <w:next w:val="Normal"/>
    <w:uiPriority w:val="99"/>
    <w:pPr>
      <w:suppressAutoHyphens w:val="0"/>
      <w:autoSpaceDE w:val="0"/>
      <w:autoSpaceDN w:val="0"/>
      <w:adjustRightInd w:val="0"/>
      <w:spacing w:after="0pt" w:line="8.05pt" w:lineRule="atLeast"/>
    </w:pPr>
    <w:rPr>
      <w:rFonts w:ascii="Times" w:hAnsi="Times" w:cs="Times"/>
      <w:sz w:val="24"/>
      <w:szCs w:val="24"/>
      <w:lang w:eastAsia="pt-BR"/>
    </w:rPr>
  </w:style>
  <w:style w:type="table" w:customStyle="1" w:styleId="Estilo1">
    <w:name w:val="Estilo1"/>
    <w:basedOn w:val="Tabelanormal"/>
    <w:uiPriority w:val="99"/>
    <w:pPr>
      <w:spacing w:after="0pt" w:line="12pt" w:lineRule="auto"/>
    </w:pPr>
    <w:tblPr/>
  </w:style>
  <w:style w:type="paragraph" w:customStyle="1" w:styleId="Default">
    <w:name w:val="Default"/>
    <w:pPr>
      <w:autoSpaceDE w:val="0"/>
      <w:autoSpaceDN w:val="0"/>
      <w:adjustRightInd w:val="0"/>
      <w:spacing w:after="0pt" w:line="12pt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Lidiaine Maria dos Santos</dc:creator>
  <cp:keywords/>
  <dc:description/>
  <cp:lastModifiedBy>Lidiaine Maria dos Santos</cp:lastModifiedBy>
  <cp:revision>4</cp:revision>
  <dcterms:created xsi:type="dcterms:W3CDTF">2020-09-07T16:13:00Z</dcterms:created>
  <dcterms:modified xsi:type="dcterms:W3CDTF">2021-01-12T00:13:00Z</dcterms:modified>
</cp:coreProperties>
</file>