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87" w:tblpY="1435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58"/>
        <w:gridCol w:w="1910"/>
        <w:gridCol w:w="2730"/>
        <w:gridCol w:w="1693"/>
        <w:gridCol w:w="1694"/>
      </w:tblGrid>
      <w:tr>
        <w:tc>
          <w:tcPr>
            <w:tcW w:w="1064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  <w:t>Case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  <w:t xml:space="preserve"> </w:t>
            </w:r>
          </w:p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  <w:t>(primary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  <w:t>ccRCC)</w:t>
            </w:r>
          </w:p>
        </w:tc>
        <w:tc>
          <w:tcPr>
            <w:tcW w:w="1558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val="en-US" w:eastAsia="zh-Hans"/>
              </w:rPr>
              <w:t>V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olume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val="en-US" w:eastAsia="zh-Hans"/>
              </w:rPr>
              <w:t>of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kern w:val="2"/>
                <w:sz w:val="20"/>
                <w:szCs w:val="20"/>
                <w:lang w:eastAsia="zh-CN" w:bidi="ar"/>
              </w:rPr>
              <w:t>t</w:t>
            </w:r>
            <w:r>
              <w:rPr>
                <w:rFonts w:hint="default" w:ascii="Arial Regular" w:hAnsi="Arial Regular" w:eastAsia="宋体" w:cs="Arial Regular"/>
                <w:kern w:val="2"/>
                <w:sz w:val="20"/>
                <w:szCs w:val="20"/>
                <w:lang w:val="en-US" w:eastAsia="zh-CN" w:bidi="ar"/>
              </w:rPr>
              <w:t xml:space="preserve">he tumor </w:t>
            </w:r>
            <w:r>
              <w:rPr>
                <w:rFonts w:hint="default" w:ascii="Arial Regular" w:hAnsi="Arial Regular" w:eastAsia="宋体" w:cs="Arial Regular"/>
                <w:kern w:val="2"/>
                <w:sz w:val="20"/>
                <w:szCs w:val="20"/>
                <w:lang w:eastAsia="zh-CN" w:bidi="ar"/>
              </w:rPr>
              <w:t>(cm)</w:t>
            </w:r>
          </w:p>
        </w:tc>
        <w:tc>
          <w:tcPr>
            <w:tcW w:w="191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Lymph node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 xml:space="preserve"> (LN)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val="en-US" w:eastAsia="zh-CN"/>
              </w:rPr>
              <w:t>metastas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CN"/>
              </w:rPr>
              <w:t>is</w:t>
            </w:r>
          </w:p>
        </w:tc>
        <w:tc>
          <w:tcPr>
            <w:tcW w:w="273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Distant metastas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is</w:t>
            </w:r>
          </w:p>
        </w:tc>
        <w:tc>
          <w:tcPr>
            <w:tcW w:w="169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TNM stag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val="en-US" w:eastAsia="zh-Hans"/>
              </w:rPr>
              <w:t>e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Hans"/>
              </w:rPr>
              <w:t xml:space="preserve"> (first-diagnosis)</w:t>
            </w:r>
          </w:p>
        </w:tc>
        <w:tc>
          <w:tcPr>
            <w:tcW w:w="1694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 xml:space="preserve">Corresponding metastatic 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CN"/>
              </w:rPr>
              <w:t>sites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64" w:type="dxa"/>
            <w:tcBorders>
              <w:top w:val="single" w:color="auto" w:sz="4" w:space="0"/>
            </w:tcBorders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 </w:t>
            </w:r>
          </w:p>
        </w:tc>
        <w:tc>
          <w:tcPr>
            <w:tcW w:w="19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 enlarged LN</w:t>
            </w:r>
          </w:p>
        </w:tc>
        <w:tc>
          <w:tcPr>
            <w:tcW w:w="27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No metastasis</w:t>
            </w:r>
          </w:p>
        </w:tc>
        <w:tc>
          <w:tcPr>
            <w:tcW w:w="16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T1a N0 M0</w:t>
            </w:r>
          </w:p>
        </w:tc>
        <w:tc>
          <w:tcPr>
            <w:tcW w:w="1694" w:type="dxa"/>
            <w:tcBorders>
              <w:top w:val="single" w:color="auto" w:sz="4" w:space="0"/>
            </w:tcBorders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L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iver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 enlarged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retroperitoneal LN 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C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audal pancreas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metastasis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T1b N0 M1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P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ancreas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 enlarged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retroperitoneal LN 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boundary between the tumor and the left psoas major and quadratus lumborum is not clear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 N0 M0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B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one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8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S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everal mild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ly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enlarged LN in the mesenteric area of the right lower abdomen, but not in the rest of the body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.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Contralateral adrenal metastasis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T2a N0 M1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CN"/>
              </w:rPr>
              <w:t>A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val="en-US" w:eastAsia="zh-CN"/>
              </w:rPr>
              <w:t>drenal gland</w:t>
            </w:r>
          </w:p>
        </w:tc>
      </w:tr>
      <w:tr>
        <w:trPr>
          <w:trHeight w:val="303" w:hRule="atLeast"/>
        </w:trP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 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 enlarged LN 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T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horacic vertebrae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(T12) metastasis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T1b N0 M1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B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one</w:t>
            </w:r>
          </w:p>
        </w:tc>
      </w:tr>
      <w:tr>
        <w:trPr>
          <w:trHeight w:val="290" w:hRule="atLeast"/>
        </w:trP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7.5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R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etroperitoneal LN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metastasis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S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capula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metastasis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T3a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N1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B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one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 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 enlarged retroperitoneal LN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C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ancer embolus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in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portal system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T3a N0 M0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B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one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.5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 enlarged LN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P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roximal femur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metastasis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T3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N0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B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one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 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Mild</w:t>
            </w: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ly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enlarged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retroperitoneal LN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Chest wall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metastasis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T2a N0 M1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C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hest wall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6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 enlarged LN 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No metastasis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T1b N0 M0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B</w:t>
            </w:r>
            <w:r>
              <w:rPr>
                <w:rFonts w:hint="default" w:ascii="Arial Regular" w:hAnsi="Arial Regular" w:cs="Arial Regular"/>
                <w:sz w:val="20"/>
                <w:szCs w:val="20"/>
              </w:rPr>
              <w:t>one</w:t>
            </w:r>
          </w:p>
        </w:tc>
      </w:tr>
      <w:tr>
        <w:trPr>
          <w:trHeight w:val="303" w:hRule="atLeast"/>
        </w:trP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 enlarged LN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No metastasis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T1a N0 M0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Bone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Cambria Math" w:hAnsi="Cambria Math" w:cs="Arial Regular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  <w:t>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 enlarged LN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No metastasis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T1 N0 M0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Bone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13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Bone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6  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Bone</w:t>
            </w:r>
          </w:p>
        </w:tc>
      </w:tr>
      <w:tr>
        <w:trPr>
          <w:trHeight w:val="330" w:hRule="atLeast"/>
        </w:trP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Bone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7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4.5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4  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No metastatic LN in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hilus</w:t>
            </w:r>
            <w:bookmarkStart w:id="0" w:name="_GoBack"/>
            <w:bookmarkEnd w:id="0"/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Brain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17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 enlarged LN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CN"/>
              </w:rPr>
              <w:t>A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val="en-US" w:eastAsia="zh-CN"/>
              </w:rPr>
              <w:t>drenal gland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No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enlarged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LN near renal artery or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abdominal aorta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eastAsia="zh-CN"/>
              </w:rPr>
              <w:t>A</w:t>
            </w: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  <w:lang w:val="en-US" w:eastAsia="zh-CN"/>
              </w:rPr>
              <w:t>drenal gland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19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5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lang w:eastAsia="zh-CN"/>
              </w:rPr>
              <w:t>N</w:t>
            </w:r>
            <w:r>
              <w:rPr>
                <w:rFonts w:hint="default" w:ascii="Arial Regular" w:hAnsi="Arial Regular" w:cs="Arial Regular"/>
                <w:sz w:val="20"/>
                <w:szCs w:val="20"/>
                <w:lang w:val="en-US" w:eastAsia="zh-CN"/>
              </w:rPr>
              <w:t>asal cavity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6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No metastatic LN in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hilus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A</w:t>
            </w:r>
            <w:r>
              <w:rPr>
                <w:rFonts w:hint="default" w:ascii="Arial Regular" w:hAnsi="Arial Regular" w:cs="Arial Regular"/>
                <w:sz w:val="20"/>
                <w:szCs w:val="20"/>
              </w:rPr>
              <w:t>bdominal wall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21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11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7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 Regular"/>
                  <w:color w:val="000000"/>
                  <w:kern w:val="0"/>
                  <w:sz w:val="20"/>
                  <w:szCs w:val="20"/>
                  <w:u w:val="none"/>
                  <w:lang w:val="en-US" w:bidi="ar"/>
                </w:rPr>
                <m:t>×</m:t>
              </m:r>
            </m:oMath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6 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NA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Lung</w:t>
            </w:r>
          </w:p>
        </w:tc>
      </w:tr>
      <w:tr>
        <w:tc>
          <w:tcPr>
            <w:tcW w:w="106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  <w:vertAlign w:val="baseline"/>
              </w:rPr>
              <w:t>22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5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(diameter)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P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ara-aortic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and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Hans" w:bidi="ar"/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hilus</w:t>
            </w: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LN metastasis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Regular" w:hAnsi="Arial Regular" w:eastAsia="宋体" w:cs="Arial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NA</w:t>
            </w:r>
          </w:p>
        </w:tc>
        <w:tc>
          <w:tcPr>
            <w:tcW w:w="1694" w:type="dxa"/>
          </w:tcPr>
          <w:p>
            <w:pPr>
              <w:rPr>
                <w:rFonts w:hint="default" w:ascii="Arial Regular" w:hAnsi="Arial Regular" w:cs="Arial Regular"/>
                <w:sz w:val="20"/>
                <w:szCs w:val="20"/>
              </w:rPr>
            </w:pPr>
            <w:r>
              <w:rPr>
                <w:rFonts w:hint="default" w:ascii="Arial Regular" w:hAnsi="Arial Regular" w:cs="Arial Regular"/>
                <w:sz w:val="20"/>
                <w:szCs w:val="20"/>
              </w:rPr>
              <w:t>Liver</w:t>
            </w:r>
          </w:p>
        </w:tc>
      </w:tr>
    </w:tbl>
    <w:p>
      <w:pPr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>Clinical information and TNM staging of ccRCC cases: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erriweath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EFFD6EE"/>
    <w:rsid w:val="EFB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0"/>
    <w:basedOn w:val="2"/>
    <w:qFormat/>
    <w:uiPriority w:val="0"/>
    <w:rPr>
      <w:rFonts w:hint="default" w:ascii="等线" w:hAnsi="等线" w:eastAsia="等线" w:cs="等线"/>
    </w:rPr>
  </w:style>
  <w:style w:type="character" w:customStyle="1" w:styleId="6">
    <w:name w:val="15"/>
    <w:basedOn w:val="2"/>
    <w:qFormat/>
    <w:uiPriority w:val="0"/>
    <w:rPr>
      <w:rFonts w:hint="default"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2021-10-07T23:18:00Z</dcterms:created>
  <dc:creator>zhongtingting</dc:creator>
  <cp:lastModifiedBy>zhongtingting</cp:lastModifiedBy>
  <dcterms:modified xsi:type="dcterms:W3CDTF">2021-10-08T17:14:46Z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