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Metabarcoding of the phytotelmata of </w:t>
      </w:r>
      <w:r w:rsidDel="00000000" w:rsidR="00000000" w:rsidRPr="00000000">
        <w:rPr>
          <w:i w:val="1"/>
          <w:rtl w:val="0"/>
        </w:rPr>
        <w:t xml:space="preserve">Pseudalcantarea grandis</w:t>
      </w:r>
      <w:r w:rsidDel="00000000" w:rsidR="00000000" w:rsidRPr="00000000">
        <w:rPr>
          <w:rtl w:val="0"/>
        </w:rPr>
        <w:t xml:space="preserve"> (Bromeliaceae) from an arid zone</w:t>
      </w:r>
    </w:p>
    <w:p w:rsidR="00000000" w:rsidDel="00000000" w:rsidP="00000000" w:rsidRDefault="00000000" w:rsidRPr="00000000" w14:paraId="00000002">
      <w:pPr>
        <w:tabs>
          <w:tab w:val="left" w:pos="759"/>
          <w:tab w:val="left" w:pos="760"/>
        </w:tabs>
        <w:spacing w:after="0" w:line="312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José Alan Herrera-García</w:t>
      </w:r>
      <w:r w:rsidDel="00000000" w:rsidR="00000000" w:rsidRPr="00000000">
        <w:rPr>
          <w:sz w:val="36.66666666666667"/>
          <w:szCs w:val="36.66666666666667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Mahinda Martínez</w:t>
      </w:r>
      <w:r w:rsidDel="00000000" w:rsidR="00000000" w:rsidRPr="00000000">
        <w:rPr>
          <w:sz w:val="36.66666666666667"/>
          <w:szCs w:val="36.66666666666667"/>
          <w:vertAlign w:val="superscript"/>
          <w:rtl w:val="0"/>
        </w:rPr>
        <w:t xml:space="preserve">1,3</w:t>
      </w:r>
      <w:r w:rsidDel="00000000" w:rsidR="00000000" w:rsidRPr="00000000">
        <w:rPr>
          <w:rtl w:val="0"/>
        </w:rPr>
        <w:t xml:space="preserve">, Pilar Zamora-Tavares</w:t>
      </w:r>
      <w:r w:rsidDel="00000000" w:rsidR="00000000" w:rsidRPr="00000000">
        <w:rPr>
          <w:sz w:val="36.66666666666667"/>
          <w:szCs w:val="36.66666666666667"/>
          <w:vertAlign w:val="superscript"/>
          <w:rtl w:val="0"/>
        </w:rPr>
        <w:t xml:space="preserve">2,3</w:t>
      </w:r>
      <w:r w:rsidDel="00000000" w:rsidR="00000000" w:rsidRPr="00000000">
        <w:rPr>
          <w:rtl w:val="0"/>
        </w:rPr>
        <w:t xml:space="preserve">, Ofelia Vargas-Ponce</w:t>
      </w:r>
      <w:r w:rsidDel="00000000" w:rsidR="00000000" w:rsidRPr="00000000">
        <w:rPr>
          <w:sz w:val="36.66666666666667"/>
          <w:szCs w:val="36.66666666666667"/>
          <w:vertAlign w:val="superscript"/>
          <w:rtl w:val="0"/>
        </w:rPr>
        <w:t xml:space="preserve">2,3</w:t>
      </w:r>
      <w:r w:rsidDel="00000000" w:rsidR="00000000" w:rsidRPr="00000000">
        <w:rPr>
          <w:rtl w:val="0"/>
        </w:rPr>
        <w:t xml:space="preserve">, Luis Hernández-Sandoval</w:t>
      </w:r>
      <w:r w:rsidDel="00000000" w:rsidR="00000000" w:rsidRPr="00000000">
        <w:rPr>
          <w:sz w:val="36.66666666666667"/>
          <w:szCs w:val="36.66666666666667"/>
          <w:vertAlign w:val="superscript"/>
          <w:rtl w:val="0"/>
        </w:rPr>
        <w:t xml:space="preserve">1,3</w:t>
      </w:r>
      <w:r w:rsidDel="00000000" w:rsidR="00000000" w:rsidRPr="00000000">
        <w:rPr>
          <w:rtl w:val="0"/>
        </w:rPr>
        <w:t xml:space="preserve">, Fabián Alejandro Rodríguez-Zaragoza </w:t>
      </w:r>
      <w:r w:rsidDel="00000000" w:rsidR="00000000" w:rsidRPr="00000000">
        <w:rPr>
          <w:sz w:val="36.66666666666667"/>
          <w:szCs w:val="36.66666666666667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bookmarkStart w:colFirst="0" w:colLast="0" w:name="_30j0zll" w:id="1"/>
      <w:bookmarkEnd w:id="1"/>
      <w:r w:rsidDel="00000000" w:rsidR="00000000" w:rsidRPr="00000000">
        <w:rPr/>
        <w:drawing>
          <wp:inline distB="0" distT="0" distL="0" distR="0">
            <wp:extent cx="5274802" cy="62285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802" cy="6228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color w:val="000000"/>
          <w:rtl w:val="0"/>
        </w:rPr>
        <w:t xml:space="preserve">Figure supplementary 1.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ank/abundance curves of bacterial families </w:t>
      </w:r>
      <w:r w:rsidDel="00000000" w:rsidR="00000000" w:rsidRPr="00000000">
        <w:rPr>
          <w:rtl w:val="0"/>
        </w:rPr>
        <w:t xml:space="preserve">in vegetated (V) and non-vegetated (NV) sites.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