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Metabarcoding of the phytotelmata of </w:t>
      </w:r>
      <w:r w:rsidDel="00000000" w:rsidR="00000000" w:rsidRPr="00000000">
        <w:rPr>
          <w:i w:val="1"/>
          <w:rtl w:val="0"/>
        </w:rPr>
        <w:t xml:space="preserve">Pseudalcantarea grandis</w:t>
      </w:r>
      <w:r w:rsidDel="00000000" w:rsidR="00000000" w:rsidRPr="00000000">
        <w:rPr>
          <w:rtl w:val="0"/>
        </w:rPr>
        <w:t xml:space="preserve"> (Bromeliaceae) from an arid zone</w:t>
      </w:r>
    </w:p>
    <w:p w:rsidR="00000000" w:rsidDel="00000000" w:rsidP="00000000" w:rsidRDefault="00000000" w:rsidRPr="00000000" w14:paraId="00000002">
      <w:pPr>
        <w:tabs>
          <w:tab w:val="left" w:pos="759"/>
          <w:tab w:val="left" w:pos="760"/>
        </w:tabs>
        <w:spacing w:after="0" w:line="312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José Alan Herrera-García</w:t>
      </w:r>
      <w:r w:rsidDel="00000000" w:rsidR="00000000" w:rsidRPr="00000000">
        <w:rPr>
          <w:sz w:val="36.66666666666667"/>
          <w:szCs w:val="36.66666666666667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, Mahinda Martínez</w:t>
      </w:r>
      <w:r w:rsidDel="00000000" w:rsidR="00000000" w:rsidRPr="00000000">
        <w:rPr>
          <w:sz w:val="36.66666666666667"/>
          <w:szCs w:val="36.66666666666667"/>
          <w:vertAlign w:val="superscript"/>
          <w:rtl w:val="0"/>
        </w:rPr>
        <w:t xml:space="preserve">1,3</w:t>
      </w:r>
      <w:r w:rsidDel="00000000" w:rsidR="00000000" w:rsidRPr="00000000">
        <w:rPr>
          <w:rtl w:val="0"/>
        </w:rPr>
        <w:t xml:space="preserve">, Pilar Zamora-Tavares</w:t>
      </w:r>
      <w:r w:rsidDel="00000000" w:rsidR="00000000" w:rsidRPr="00000000">
        <w:rPr>
          <w:sz w:val="36.66666666666667"/>
          <w:szCs w:val="36.66666666666667"/>
          <w:vertAlign w:val="superscript"/>
          <w:rtl w:val="0"/>
        </w:rPr>
        <w:t xml:space="preserve">2,3</w:t>
      </w:r>
      <w:r w:rsidDel="00000000" w:rsidR="00000000" w:rsidRPr="00000000">
        <w:rPr>
          <w:rtl w:val="0"/>
        </w:rPr>
        <w:t xml:space="preserve">, Ofelia Vargas-Ponce</w:t>
      </w:r>
      <w:r w:rsidDel="00000000" w:rsidR="00000000" w:rsidRPr="00000000">
        <w:rPr>
          <w:sz w:val="36.66666666666667"/>
          <w:szCs w:val="36.66666666666667"/>
          <w:vertAlign w:val="superscript"/>
          <w:rtl w:val="0"/>
        </w:rPr>
        <w:t xml:space="preserve">2,3</w:t>
      </w:r>
      <w:r w:rsidDel="00000000" w:rsidR="00000000" w:rsidRPr="00000000">
        <w:rPr>
          <w:rtl w:val="0"/>
        </w:rPr>
        <w:t xml:space="preserve">, Luis Hernández-Sandoval</w:t>
      </w:r>
      <w:r w:rsidDel="00000000" w:rsidR="00000000" w:rsidRPr="00000000">
        <w:rPr>
          <w:sz w:val="36.66666666666667"/>
          <w:szCs w:val="36.66666666666667"/>
          <w:vertAlign w:val="superscript"/>
          <w:rtl w:val="0"/>
        </w:rPr>
        <w:t xml:space="preserve">1,3</w:t>
      </w:r>
      <w:r w:rsidDel="00000000" w:rsidR="00000000" w:rsidRPr="00000000">
        <w:rPr>
          <w:rtl w:val="0"/>
        </w:rPr>
        <w:t xml:space="preserve">, Fabián Alejandro Rodríguez-Zaragoza </w:t>
      </w:r>
      <w:r w:rsidDel="00000000" w:rsidR="00000000" w:rsidRPr="00000000">
        <w:rPr>
          <w:sz w:val="36.66666666666667"/>
          <w:szCs w:val="36.66666666666667"/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Table Supplementary 2. Similarity percentage analysis (SIMPER) results of the bacterial families between vegetated (V) and non-vegetated (NV) sites considering a cumulative contribution of ~40% and number of OTUS by family</w:t>
      </w:r>
    </w:p>
    <w:tbl>
      <w:tblPr>
        <w:tblStyle w:val="Table1"/>
        <w:tblW w:w="7580.0" w:type="dxa"/>
        <w:jc w:val="left"/>
        <w:tblInd w:w="0.0" w:type="dxa"/>
        <w:tblLayout w:type="fixed"/>
        <w:tblLook w:val="0400"/>
      </w:tblPr>
      <w:tblGrid>
        <w:gridCol w:w="2780"/>
        <w:gridCol w:w="1200"/>
        <w:gridCol w:w="273"/>
        <w:gridCol w:w="927"/>
        <w:gridCol w:w="207"/>
        <w:gridCol w:w="993"/>
        <w:gridCol w:w="1200"/>
        <w:tblGridChange w:id="0">
          <w:tblGrid>
            <w:gridCol w:w="2780"/>
            <w:gridCol w:w="1200"/>
            <w:gridCol w:w="273"/>
            <w:gridCol w:w="927"/>
            <w:gridCol w:w="207"/>
            <w:gridCol w:w="993"/>
            <w:gridCol w:w="12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Average dissimilarity = 25.26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Group V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Group NV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Contrib%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Cum 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Family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OTUS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OTUS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136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41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1.88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1.88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Aurantimonadaceae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1.76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3.64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Methylobacteriaceae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5.04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Desulfovibrionaceae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6.44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Paenibacillaceae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46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7.73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Marinifilaceae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1.24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8.98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Alicyclobacillaceae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1.13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10.11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Saprospiraceae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1.12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Gordoniaceae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1.07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Ruminococcaceae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1.06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13.36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Rhodocyclaceae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128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1.06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14.42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Geodermatophilaceae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37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1.05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15.47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Frankiaceae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1.01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16.48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Peptostreptococcaceae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1.01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17.49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Deinococcaceae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0.95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18.44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Veillonellaceae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0.95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19.39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Thiotrichaceae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0.95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20.34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Brucellaceae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0.93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21.27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Oxalobacteraceae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71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34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0.93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22.2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Spirochaetaceae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0.92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23.12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Alcaligenaceae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Acanthopleuribacteraceae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24.88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Holophagaceae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25.76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Solibacteraceae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26.64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Cryomorphaceae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27.52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Sporolactobacillaceae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28.39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Christensenellaceae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29.27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Clostridiales_Family_XIII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30.15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Peptoniphilaceae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31.03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Thermolithobacteraceae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31.9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Sutterellaceae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32.78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Nitrosomonadaceae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33.66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Desulfobacteraceae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34.54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Desulfuromonadaceae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35.41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Colwelliaceae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36.29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Thioalkalispiraceae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37.17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Pseudomonadaceae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38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38.04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Caulobacteraceae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66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33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38.89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Demequinaceae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39.69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Fusobacteriaceae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40.49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Victivallaceae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41.29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Rickettsiaceae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42.1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Syntrophorhabdaceae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0.8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42.9</w:t>
            </w:r>
          </w:p>
        </w:tc>
      </w:tr>
    </w:tbl>
    <w:p w:rsidR="00000000" w:rsidDel="00000000" w:rsidP="00000000" w:rsidRDefault="00000000" w:rsidRPr="00000000" w14:paraId="00000142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rtl w:val="0"/>
        </w:rPr>
        <w:t xml:space="preserve">Notes: Group V= vegetated site, Group NV= Non-vegetated site, Contrib% = percentage contribution to dissimilarity, Cum= accumulated contribution</w:t>
      </w:r>
    </w:p>
    <w:p w:rsidR="00000000" w:rsidDel="00000000" w:rsidP="00000000" w:rsidRDefault="00000000" w:rsidRPr="00000000" w14:paraId="00000144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