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BB" w:rsidRPr="006966CA" w:rsidRDefault="00CD2578" w:rsidP="00D446BB">
      <w:pPr>
        <w:rPr>
          <w:rFonts w:ascii="Times New Roman" w:hAnsi="Times New Roman"/>
          <w:sz w:val="21"/>
          <w:szCs w:val="24"/>
        </w:rPr>
      </w:pPr>
      <w:r w:rsidRPr="006966CA">
        <w:rPr>
          <w:rFonts w:ascii="Times New Roman" w:hAnsi="Times New Roman"/>
          <w:b/>
          <w:color w:val="050404"/>
          <w:sz w:val="20"/>
          <w:szCs w:val="20"/>
        </w:rPr>
        <w:t xml:space="preserve">Supplementary Table S7. </w:t>
      </w:r>
      <w:r w:rsidR="00D446BB" w:rsidRPr="006966CA">
        <w:rPr>
          <w:rFonts w:ascii="Times New Roman" w:hAnsi="Times New Roman"/>
          <w:b/>
          <w:sz w:val="21"/>
          <w:szCs w:val="24"/>
        </w:rPr>
        <w:t xml:space="preserve">Genetic divergence of the genus </w:t>
      </w:r>
      <w:r w:rsidR="00D446BB" w:rsidRPr="006966CA">
        <w:rPr>
          <w:rFonts w:ascii="Times New Roman" w:hAnsi="Times New Roman"/>
          <w:b/>
          <w:i/>
          <w:sz w:val="21"/>
          <w:szCs w:val="24"/>
        </w:rPr>
        <w:t xml:space="preserve">Pareas </w:t>
      </w:r>
      <w:r w:rsidRPr="006966CA">
        <w:rPr>
          <w:rFonts w:ascii="Times New Roman" w:hAnsi="Times New Roman"/>
          <w:b/>
          <w:sz w:val="21"/>
          <w:szCs w:val="24"/>
        </w:rPr>
        <w:t xml:space="preserve">in </w:t>
      </w:r>
      <w:r w:rsidR="00D446BB" w:rsidRPr="006966CA">
        <w:rPr>
          <w:rFonts w:ascii="Times New Roman" w:hAnsi="Times New Roman"/>
          <w:b/>
          <w:sz w:val="21"/>
          <w:szCs w:val="24"/>
        </w:rPr>
        <w:t xml:space="preserve">cyt </w:t>
      </w:r>
      <w:r w:rsidR="00D446BB" w:rsidRPr="006966CA">
        <w:rPr>
          <w:rFonts w:ascii="Times New Roman" w:hAnsi="Times New Roman"/>
          <w:b/>
          <w:i/>
          <w:sz w:val="21"/>
          <w:szCs w:val="24"/>
        </w:rPr>
        <w:t>b</w:t>
      </w:r>
      <w:r w:rsidR="00D446BB" w:rsidRPr="006966CA">
        <w:rPr>
          <w:rFonts w:ascii="Times New Roman" w:hAnsi="Times New Roman"/>
          <w:b/>
          <w:sz w:val="21"/>
          <w:szCs w:val="24"/>
        </w:rPr>
        <w:t xml:space="preserve"> gene</w:t>
      </w:r>
      <w:r w:rsidRPr="006966CA">
        <w:rPr>
          <w:rFonts w:ascii="Times New Roman" w:hAnsi="Times New Roman"/>
          <w:b/>
          <w:sz w:val="21"/>
          <w:szCs w:val="24"/>
        </w:rPr>
        <w:t xml:space="preserve"> sequences</w:t>
      </w:r>
      <w:r w:rsidR="00D446BB" w:rsidRPr="006966CA">
        <w:rPr>
          <w:rFonts w:ascii="Times New Roman" w:hAnsi="Times New Roman"/>
          <w:b/>
          <w:sz w:val="21"/>
          <w:szCs w:val="24"/>
        </w:rPr>
        <w:t>.</w:t>
      </w:r>
      <w:r w:rsidR="00D446BB" w:rsidRPr="006966CA">
        <w:rPr>
          <w:rFonts w:ascii="Times New Roman" w:hAnsi="Times New Roman"/>
          <w:sz w:val="21"/>
          <w:szCs w:val="24"/>
        </w:rPr>
        <w:t xml:space="preserve"> </w:t>
      </w:r>
    </w:p>
    <w:p w:rsidR="00D446BB" w:rsidRPr="00D446BB" w:rsidRDefault="00D446BB" w:rsidP="00D446BB">
      <w:pPr>
        <w:rPr>
          <w:sz w:val="20"/>
        </w:rPr>
      </w:pPr>
      <w:r w:rsidRPr="006966CA">
        <w:rPr>
          <w:rFonts w:ascii="Times New Roman" w:hAnsi="Times New Roman"/>
          <w:sz w:val="21"/>
          <w:szCs w:val="24"/>
        </w:rPr>
        <w:t xml:space="preserve">Uncorrected average interspecific (below diagonal), intraspecific (on the diagonal) genetic p-distances and error estimates (above the diagonal) for cyt </w:t>
      </w:r>
      <w:r w:rsidRPr="006966CA">
        <w:rPr>
          <w:rFonts w:ascii="Times New Roman" w:hAnsi="Times New Roman"/>
          <w:i/>
          <w:sz w:val="21"/>
          <w:szCs w:val="24"/>
        </w:rPr>
        <w:t>b</w:t>
      </w:r>
      <w:r w:rsidRPr="006966CA">
        <w:rPr>
          <w:rFonts w:ascii="Times New Roman" w:hAnsi="Times New Roman"/>
          <w:sz w:val="21"/>
          <w:szCs w:val="24"/>
        </w:rPr>
        <w:t xml:space="preserve"> mtDNA gene fragment (in percentage) are given for species of the genus </w:t>
      </w:r>
      <w:r w:rsidRPr="006966CA">
        <w:rPr>
          <w:rFonts w:ascii="Times New Roman" w:hAnsi="Times New Roman"/>
          <w:i/>
          <w:sz w:val="21"/>
          <w:szCs w:val="24"/>
        </w:rPr>
        <w:t>Pareas</w:t>
      </w:r>
      <w:r w:rsidRPr="006966CA">
        <w:rPr>
          <w:rFonts w:ascii="Times New Roman" w:hAnsi="Times New Roman"/>
          <w:sz w:val="21"/>
          <w:szCs w:val="24"/>
        </w:rPr>
        <w:t xml:space="preserve"> (1–29).</w:t>
      </w:r>
    </w:p>
    <w:tbl>
      <w:tblPr>
        <w:tblW w:w="18144" w:type="dxa"/>
        <w:tblInd w:w="-882" w:type="dxa"/>
        <w:tblLook w:val="04A0" w:firstRow="1" w:lastRow="0" w:firstColumn="1" w:lastColumn="0" w:noHBand="0" w:noVBand="1"/>
      </w:tblPr>
      <w:tblGrid>
        <w:gridCol w:w="416"/>
        <w:gridCol w:w="2554"/>
        <w:gridCol w:w="531"/>
        <w:gridCol w:w="531"/>
        <w:gridCol w:w="531"/>
        <w:gridCol w:w="531"/>
        <w:gridCol w:w="531"/>
        <w:gridCol w:w="531"/>
        <w:gridCol w:w="531"/>
        <w:gridCol w:w="531"/>
        <w:gridCol w:w="396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441"/>
      </w:tblGrid>
      <w:tr w:rsidR="001C724A" w:rsidRPr="001C724A" w:rsidTr="001C724A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D446BB" w:rsidRDefault="001C724A" w:rsidP="001C72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D446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Taxon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29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P.b.unicolor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8C008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P.b.</w:t>
            </w:r>
            <w:bookmarkStart w:id="0" w:name="_GoBack"/>
            <w:r w:rsidR="007A517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truongsonicus</w:t>
            </w:r>
            <w:r w:rsidR="008C00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bookmarkEnd w:id="0"/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ssp.nov.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5.7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P.b.berdmorei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4.8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P.kuznetsovorum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sp.nov.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P.c.carinatus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P.c.tenasserimicus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ssp.nov.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5.0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P.abros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sp.nov.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</w:t>
            </w:r>
            <w:r w:rsidR="00C32B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temporalis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</w:tr>
      <w:tr w:rsidR="002E6978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P.nuchalis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78" w:rsidRPr="001C724A" w:rsidRDefault="002E6978" w:rsidP="002E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P.formosensis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4.8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P.xuelinensis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P.geminatus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4.1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7.2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P.hamptoni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7.8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7.8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P.niger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7.9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7.2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7.1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5.4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P.iwasakii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P.atayal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6.9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P.komaii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P.vindumi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15.0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P.kaduri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25.0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15.3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15.4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P.nigriceps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15.6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P.boulengeri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P.chinensis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P.stanleyi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15.5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P.andersoni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P.modestus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P.macularius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11.5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P.margaritophorus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15.0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P.monticola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3.7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</w:tr>
      <w:tr w:rsidR="001C724A" w:rsidRPr="001C724A" w:rsidTr="001C724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1C72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P.victorianus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24.0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C724A" w:rsidRPr="001C724A" w:rsidRDefault="001C724A" w:rsidP="001C7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1C724A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</w:tr>
    </w:tbl>
    <w:p w:rsidR="00285633" w:rsidRDefault="00285633"/>
    <w:sectPr w:rsidR="00285633" w:rsidSect="001C72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TimesNewRoman-Normal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D"/>
    <w:rsid w:val="001C724A"/>
    <w:rsid w:val="001D59EF"/>
    <w:rsid w:val="001E5030"/>
    <w:rsid w:val="00285633"/>
    <w:rsid w:val="002E6978"/>
    <w:rsid w:val="006966CA"/>
    <w:rsid w:val="007A517E"/>
    <w:rsid w:val="008C0086"/>
    <w:rsid w:val="00963F88"/>
    <w:rsid w:val="00996A2D"/>
    <w:rsid w:val="00C32B5B"/>
    <w:rsid w:val="00CD2578"/>
    <w:rsid w:val="00D446BB"/>
    <w:rsid w:val="00E51E87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87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E51E87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E51E87"/>
    <w:rPr>
      <w:rFonts w:ascii="TimesNewRoman-NormalItalic" w:hAnsi="TimesNewRoman-NormalItalic"/>
      <w:i/>
      <w:color w:val="20231E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8C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086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87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E51E87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E51E87"/>
    <w:rPr>
      <w:rFonts w:ascii="TimesNewRoman-NormalItalic" w:hAnsi="TimesNewRoman-NormalItalic"/>
      <w:i/>
      <w:color w:val="20231E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8C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08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2021-09-19T12:24:00Z</dcterms:created>
  <dcterms:modified xsi:type="dcterms:W3CDTF">2021-11-24T23:47:00Z</dcterms:modified>
</cp:coreProperties>
</file>