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170" w14:textId="77777777" w:rsidR="00E8160F" w:rsidRDefault="00E8160F" w:rsidP="00E8160F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0" w:name="_Hlk88227322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Antigenic properties of the SARS-CoV-2 nucleoprotein are altered by the RNA admixture </w:t>
      </w:r>
    </w:p>
    <w:p w14:paraId="2FA43F3A" w14:textId="77777777" w:rsidR="00E8160F" w:rsidRDefault="00E8160F" w:rsidP="00E8160F">
      <w:pPr>
        <w:pStyle w:val="1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Denis E. Kolesov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Maria V. Sinegubova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Ivan I. Vorobiev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Nadezhda A. Orlova*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14:paraId="696B575D" w14:textId="77777777" w:rsidR="00E8160F" w:rsidRDefault="00E8160F">
      <w:pPr>
        <w:rPr>
          <w:rFonts w:ascii="Times New Roman" w:hAnsi="Times New Roman" w:cs="Times New Roman"/>
          <w:sz w:val="24"/>
        </w:rPr>
      </w:pPr>
    </w:p>
    <w:p w14:paraId="27CC1D4B" w14:textId="50DCA8AE" w:rsidR="00E8160F" w:rsidRPr="00E8160F" w:rsidRDefault="00E8160F">
      <w:pPr>
        <w:rPr>
          <w:b/>
          <w:bCs/>
        </w:rPr>
      </w:pPr>
      <w:r w:rsidRPr="00E8160F">
        <w:rPr>
          <w:rFonts w:ascii="Times New Roman" w:hAnsi="Times New Roman" w:cs="Times New Roman"/>
          <w:b/>
          <w:bCs/>
          <w:sz w:val="24"/>
        </w:rPr>
        <w:t>Supporting Figures</w:t>
      </w:r>
    </w:p>
    <w:p w14:paraId="6BA91A2E" w14:textId="7146C1A1" w:rsidR="00E8160F" w:rsidRPr="00E8160F" w:rsidRDefault="00E8160F"/>
    <w:p w14:paraId="5C67C51C" w14:textId="40CA4B4D" w:rsidR="00643D41" w:rsidRDefault="00CA7E4E">
      <w:r>
        <w:t>&gt;NP</w:t>
      </w:r>
    </w:p>
    <w:p w14:paraId="1232D848" w14:textId="2349A67A" w:rsidR="00CA7E4E" w:rsidRPr="002E6B95" w:rsidRDefault="00CA7E4E">
      <w:pPr>
        <w:rPr>
          <w:rFonts w:cstheme="minorHAnsi"/>
          <w:caps/>
        </w:rPr>
      </w:pPr>
      <w:r w:rsidRPr="002E6B95">
        <w:rPr>
          <w:rFonts w:cstheme="minorHAnsi"/>
          <w:caps/>
        </w:rPr>
        <w:t>Msdngpqnqrnapritfggpsdstgsnqngersgarskqrrpqglpnntaswftaltqhgkedlkfprgqgvpintnsspddqigyyrratrrirggdgkmkdlsprwyfyylgtgpeaglpygankdgiiwvategalntpkdhigtrnpannaaivlqlpqgttlpkgfyaegsrggsqassrsssrsrnssrnstpgssrgtsparmagnggdaalalllldrlnqleskmsgkgqqqqgqtvtkksaaeaskkprqkrtatkaynvtqafgrrgpeqtqgnfgdqelirqgtdykhwpqiaqfapsasaffgmsrigmevtpsgtwltytgaiklddkdpnfkdqvillnkhidayktfpptepkkdkkkkadetqalpqrqkkqqtvtllpaadlddfskqlqqsmssadstqahhhhhhhhhh</w:t>
      </w:r>
    </w:p>
    <w:p w14:paraId="5B8464B2" w14:textId="337BDFA0" w:rsidR="00CA7E4E" w:rsidRDefault="00CA7E4E">
      <w:pPr>
        <w:rPr>
          <w:rFonts w:cstheme="minorHAnsi"/>
        </w:rPr>
      </w:pPr>
      <w:r>
        <w:rPr>
          <w:rFonts w:cstheme="minorHAnsi"/>
        </w:rPr>
        <w:t>&gt;NTD</w:t>
      </w:r>
      <w:r w:rsidR="003666E5">
        <w:rPr>
          <w:rFonts w:cstheme="minorHAnsi"/>
        </w:rPr>
        <w:t xml:space="preserve"> </w:t>
      </w:r>
    </w:p>
    <w:p w14:paraId="1028C5EF" w14:textId="0D343D01" w:rsidR="00CA7E4E" w:rsidRDefault="00CA7E4E">
      <w:pPr>
        <w:rPr>
          <w:rFonts w:cstheme="minorHAnsi"/>
          <w:caps/>
        </w:rPr>
      </w:pPr>
      <w:r w:rsidRPr="002E6B95">
        <w:rPr>
          <w:rFonts w:cstheme="minorHAnsi"/>
          <w:caps/>
        </w:rPr>
        <w:t>Msdngpqnqrnapritfggpsdstgsnqngersgarskqrrpqglpnntaswftaltqhgkedlkfprgqgvpintnsspddqigyyrratrrirggdgkmkdlsprwyfyylgtgpeaglpygankdgiiwvategalntpkdhigtrnpannaaivlqlpqgttlpkgfyaegsrggsqassrsssrsrnssrnstpgssrgtsparmagnggdaalahhhhhhhhhh</w:t>
      </w:r>
    </w:p>
    <w:p w14:paraId="6D0DF531" w14:textId="4B5216A6" w:rsidR="00F14D49" w:rsidRDefault="004B0B6E">
      <w:pPr>
        <w:rPr>
          <w:rFonts w:cstheme="minorHAnsi"/>
          <w:caps/>
        </w:rPr>
      </w:pPr>
      <w:r>
        <w:rPr>
          <w:rFonts w:cstheme="minorHAnsi"/>
          <w:caps/>
        </w:rPr>
        <w:t>&gt;</w:t>
      </w:r>
      <w:r w:rsidR="00F14D49">
        <w:rPr>
          <w:rFonts w:cstheme="minorHAnsi"/>
          <w:caps/>
        </w:rPr>
        <w:t>CTD</w:t>
      </w:r>
    </w:p>
    <w:p w14:paraId="3618A589" w14:textId="3C40035D" w:rsidR="002E6B95" w:rsidRDefault="00F14D49" w:rsidP="00F14D49">
      <w:pPr>
        <w:rPr>
          <w:rFonts w:cstheme="minorHAnsi"/>
          <w:caps/>
        </w:rPr>
      </w:pPr>
      <w:r w:rsidRPr="00F14D49">
        <w:rPr>
          <w:rFonts w:cstheme="minorHAnsi"/>
          <w:caps/>
        </w:rPr>
        <w:t>Mvlrtsvmllalllldrlnqleskmsgkgqqqqgqtvtkksaaeaskkprqkrtatkaynvtqafgrrgpeqtqgnfgdqelirqgtdykhwpqiaqfapsasaffgmsrigmevtpsgtwltytgaiklddkdpnfkdqvillnkhidayktfpptepkkdkkkkadetqalpqrqkkqqtvtllpaadlddfskqlqqsmssadstqahhhhhhhhhh</w:t>
      </w:r>
    </w:p>
    <w:p w14:paraId="7ECDCCB1" w14:textId="5F6E3DB5" w:rsidR="00E8160F" w:rsidRPr="009E240B" w:rsidRDefault="00E8160F" w:rsidP="00F14D49">
      <w:pPr>
        <w:rPr>
          <w:rFonts w:ascii="Times New Roman" w:hAnsi="Times New Roman" w:cs="Times New Roman"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 w:rsidR="009E240B">
        <w:rPr>
          <w:rFonts w:ascii="Times New Roman" w:hAnsi="Times New Roman" w:cs="Times New Roman"/>
          <w:b/>
          <w:bCs/>
        </w:rPr>
        <w:t>S</w:t>
      </w:r>
      <w:r w:rsidRPr="009E240B">
        <w:rPr>
          <w:rFonts w:ascii="Times New Roman" w:hAnsi="Times New Roman" w:cs="Times New Roman"/>
          <w:b/>
          <w:bCs/>
        </w:rPr>
        <w:t>1. Aminoacid sequences of the nucleocapsid protein (NP) and it’s fragments, as encoded by the plasmids pHYP-NPC-10H, pHYP-NP-head-C-10H, pHYP-NP-tail-C-10H.</w:t>
      </w:r>
      <w:r w:rsidRPr="009E240B">
        <w:rPr>
          <w:rFonts w:ascii="Times New Roman" w:hAnsi="Times New Roman" w:cs="Times New Roman"/>
        </w:rPr>
        <w:t xml:space="preserve"> Sequences are in FASTA format.</w:t>
      </w:r>
    </w:p>
    <w:p w14:paraId="0784008D" w14:textId="62642524" w:rsidR="00E8160F" w:rsidRDefault="00E8160F">
      <w:pPr>
        <w:rPr>
          <w:rFonts w:cstheme="minorHAnsi"/>
        </w:rPr>
      </w:pPr>
      <w:r>
        <w:rPr>
          <w:rFonts w:cstheme="minorHAnsi"/>
        </w:rPr>
        <w:br w:type="page"/>
      </w:r>
    </w:p>
    <w:p w14:paraId="2EB82706" w14:textId="50834B89" w:rsidR="004A085C" w:rsidRDefault="004A085C" w:rsidP="000A08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1F331C2" wp14:editId="2F4DA36D">
            <wp:extent cx="59340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3257" w14:textId="57F5B6C9" w:rsidR="000A081A" w:rsidRPr="004A085C" w:rsidRDefault="000A081A" w:rsidP="000A081A">
      <w:pPr>
        <w:rPr>
          <w:rFonts w:ascii="Times New Roman" w:hAnsi="Times New Roman" w:cs="Times New Roman"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S2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 w:rsidRPr="000A081A">
        <w:rPr>
          <w:rFonts w:ascii="Times New Roman" w:hAnsi="Times New Roman" w:cs="Times New Roman"/>
          <w:b/>
          <w:bCs/>
        </w:rPr>
        <w:t>IMAC chromatography trace for the</w:t>
      </w:r>
      <w:r>
        <w:rPr>
          <w:rFonts w:ascii="Times New Roman" w:hAnsi="Times New Roman" w:cs="Times New Roman"/>
          <w:b/>
          <w:bCs/>
        </w:rPr>
        <w:t xml:space="preserve"> RNase A- treated</w:t>
      </w:r>
      <w:r w:rsidRPr="000A081A">
        <w:rPr>
          <w:rFonts w:ascii="Times New Roman" w:hAnsi="Times New Roman" w:cs="Times New Roman"/>
          <w:b/>
          <w:bCs/>
        </w:rPr>
        <w:t xml:space="preserve"> NP</w:t>
      </w:r>
      <w:r>
        <w:rPr>
          <w:rFonts w:ascii="Times New Roman" w:hAnsi="Times New Roman" w:cs="Times New Roman"/>
          <w:b/>
          <w:bCs/>
        </w:rPr>
        <w:t xml:space="preserve"> sample, on-column wash by the stepwise NaCl concentration gradient. </w:t>
      </w:r>
      <w:r w:rsidRPr="000A081A">
        <w:rPr>
          <w:rFonts w:ascii="Times New Roman" w:hAnsi="Times New Roman" w:cs="Times New Roman"/>
        </w:rPr>
        <w:t>Eluate absorbance at 280 nm is in blue, absorbance at 260 nm – in red</w:t>
      </w:r>
      <w:r>
        <w:rPr>
          <w:rFonts w:ascii="Times New Roman" w:hAnsi="Times New Roman" w:cs="Times New Roman"/>
        </w:rPr>
        <w:t xml:space="preserve">, conductivity in brown. </w:t>
      </w:r>
      <w:r w:rsidR="004A085C">
        <w:rPr>
          <w:rFonts w:ascii="Times New Roman" w:hAnsi="Times New Roman" w:cs="Times New Roman"/>
        </w:rPr>
        <w:t xml:space="preserve">Ten minutes of the flow stops were performed at the end of each NaCl gradient segment, resulting in appearance of peaks, preceding the eluate from the next segment. </w:t>
      </w:r>
    </w:p>
    <w:p w14:paraId="0E6E3130" w14:textId="77777777" w:rsidR="000A081A" w:rsidRDefault="000A081A" w:rsidP="000A081A">
      <w:pPr>
        <w:rPr>
          <w:rFonts w:cstheme="minorHAnsi"/>
        </w:rPr>
      </w:pPr>
      <w:r>
        <w:rPr>
          <w:rFonts w:cstheme="minorHAnsi"/>
        </w:rPr>
        <w:br w:type="page"/>
      </w:r>
    </w:p>
    <w:p w14:paraId="36F1B58A" w14:textId="77777777" w:rsidR="000A081A" w:rsidRDefault="000A081A">
      <w:pPr>
        <w:rPr>
          <w:rFonts w:cstheme="minorHAnsi"/>
        </w:rPr>
      </w:pPr>
    </w:p>
    <w:p w14:paraId="7D5DC12E" w14:textId="7D32713B" w:rsidR="00E8160F" w:rsidRDefault="009E240B" w:rsidP="00F14D49">
      <w:pPr>
        <w:rPr>
          <w:rFonts w:cstheme="minorHAnsi"/>
          <w:lang w:val="ru-RU"/>
        </w:rPr>
      </w:pPr>
      <w:r>
        <w:rPr>
          <w:rFonts w:cstheme="minorHAnsi"/>
          <w:noProof/>
          <w:lang w:val="ru-RU"/>
        </w:rPr>
        <w:drawing>
          <wp:inline distT="0" distB="0" distL="0" distR="0" wp14:anchorId="6596D3FD" wp14:editId="3D4C5D26">
            <wp:extent cx="3727572" cy="2819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49" cy="28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EDB5" w14:textId="37C847D5" w:rsidR="009E240B" w:rsidRDefault="009E240B" w:rsidP="00F14D49">
      <w:pPr>
        <w:rPr>
          <w:rFonts w:ascii="Times New Roman" w:hAnsi="Times New Roman" w:cs="Times New Roman"/>
          <w:b/>
          <w:bCs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="00792B44">
        <w:rPr>
          <w:rFonts w:ascii="Times New Roman" w:hAnsi="Times New Roman" w:cs="Times New Roman"/>
          <w:b/>
          <w:bCs/>
        </w:rPr>
        <w:t>3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 w:rsidR="006C14C7" w:rsidRPr="006C1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Absence of </w:t>
      </w:r>
      <w:r w:rsidR="006C1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6C14C7" w:rsidRPr="006C1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 CTD expression in the BL21[DE3]/pHYP-NP-CTD strain.</w:t>
      </w:r>
      <w:r w:rsidR="006C14C7" w:rsidRPr="007E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SDS-PAGE analysis of total E.coli proteins, 2 h induction by 1 mM IPTG, 30 oC, total proteins (induced)</w:t>
      </w:r>
      <w:r w:rsidR="006C14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14C7" w:rsidRPr="007E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soluble and insoluble protein fractions.</w:t>
      </w:r>
      <w:r w:rsidR="006C1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Cl.5, cl. 7 – transformation of the BL21[DE3] cells by two various clones of the </w:t>
      </w:r>
      <w:r w:rsidR="006C14C7" w:rsidRPr="006C14C7">
        <w:rPr>
          <w:rFonts w:ascii="Times New Roman" w:hAnsi="Times New Roman" w:cs="Times New Roman"/>
          <w:color w:val="000000" w:themeColor="text1"/>
          <w:sz w:val="24"/>
          <w:szCs w:val="24"/>
        </w:rPr>
        <w:t>pHYP-NP-CTD</w:t>
      </w:r>
      <w:r w:rsidR="006C1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plasmid. </w:t>
      </w:r>
    </w:p>
    <w:p w14:paraId="628D4E58" w14:textId="77777777" w:rsidR="009E240B" w:rsidRDefault="009E24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8282528" w14:textId="5379DA1F" w:rsidR="001A29E4" w:rsidRDefault="0073052E" w:rsidP="00F14D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E430F08" wp14:editId="41BEE592">
            <wp:extent cx="5934075" cy="7515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E22D" w14:textId="19788E33" w:rsidR="001A29E4" w:rsidRDefault="001A29E4" w:rsidP="00F14D49">
      <w:pPr>
        <w:rPr>
          <w:rFonts w:ascii="Times New Roman" w:hAnsi="Times New Roman" w:cs="Times New Roman"/>
          <w:b/>
          <w:bCs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S4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Raw data of the ESI-MS analysis of the full-length NP preparation.</w:t>
      </w:r>
    </w:p>
    <w:p w14:paraId="66EE5BAC" w14:textId="257C590B" w:rsidR="00866D0D" w:rsidRDefault="00866D0D" w:rsidP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680BBD7D" wp14:editId="1D000995">
            <wp:extent cx="5934075" cy="7515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19AD" w14:textId="613FD071" w:rsidR="00866D0D" w:rsidRDefault="00866D0D" w:rsidP="00866D0D">
      <w:pPr>
        <w:rPr>
          <w:rFonts w:ascii="Times New Roman" w:hAnsi="Times New Roman" w:cs="Times New Roman"/>
          <w:b/>
          <w:bCs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S5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Raw data of the ESI-MS analysis of the NTD preparation.</w:t>
      </w:r>
    </w:p>
    <w:p w14:paraId="417D0426" w14:textId="6484B893" w:rsidR="00866D0D" w:rsidRDefault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2977915" w14:textId="4E9C5D95" w:rsidR="00810E6B" w:rsidRDefault="00D3444B" w:rsidP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52E57AC0" wp14:editId="34698191">
            <wp:extent cx="5943600" cy="6848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BAF3" w14:textId="5ADF47C6" w:rsidR="00866D0D" w:rsidRDefault="00866D0D" w:rsidP="00866D0D">
      <w:pPr>
        <w:rPr>
          <w:rFonts w:ascii="Times New Roman" w:hAnsi="Times New Roman" w:cs="Times New Roman"/>
          <w:b/>
          <w:bCs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S6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 w:rsidR="00810E6B" w:rsidRPr="00810E6B">
        <w:rPr>
          <w:rFonts w:ascii="Times New Roman" w:hAnsi="Times New Roman" w:cs="Times New Roman"/>
          <w:b/>
          <w:bCs/>
        </w:rPr>
        <w:t>Chromatography traces of the NP and NP-RNA protein preparations</w:t>
      </w:r>
      <w:r w:rsidR="00810E6B">
        <w:rPr>
          <w:rFonts w:ascii="Times New Roman" w:hAnsi="Times New Roman" w:cs="Times New Roman"/>
          <w:b/>
          <w:bCs/>
        </w:rPr>
        <w:t xml:space="preserve"> size exclusion chromatography analysis</w:t>
      </w:r>
      <w:r w:rsidR="00810E6B" w:rsidRPr="00810E6B">
        <w:rPr>
          <w:rFonts w:ascii="Times New Roman" w:hAnsi="Times New Roman" w:cs="Times New Roman"/>
          <w:b/>
          <w:bCs/>
        </w:rPr>
        <w:t xml:space="preserve">, </w:t>
      </w:r>
      <w:r w:rsidR="00810E6B">
        <w:rPr>
          <w:rFonts w:ascii="Times New Roman" w:hAnsi="Times New Roman" w:cs="Times New Roman"/>
          <w:b/>
          <w:bCs/>
        </w:rPr>
        <w:t xml:space="preserve">dual wavelength optical detection. </w:t>
      </w:r>
      <w:r w:rsidR="006C14C7">
        <w:rPr>
          <w:rFonts w:ascii="Times New Roman" w:hAnsi="Times New Roman" w:cs="Times New Roman"/>
          <w:b/>
          <w:bCs/>
        </w:rPr>
        <w:t>(</w:t>
      </w:r>
      <w:r w:rsidR="00810E6B" w:rsidRPr="003B09B5">
        <w:rPr>
          <w:rFonts w:ascii="Times New Roman" w:hAnsi="Times New Roman" w:cs="Times New Roman"/>
        </w:rPr>
        <w:t>A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="00810E6B" w:rsidRPr="003B09B5">
        <w:rPr>
          <w:rFonts w:ascii="Times New Roman" w:hAnsi="Times New Roman" w:cs="Times New Roman"/>
        </w:rPr>
        <w:t>B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 xml:space="preserve"> - PBS as the mobile phase; </w:t>
      </w:r>
      <w:r w:rsidR="006C14C7">
        <w:rPr>
          <w:rFonts w:ascii="Times New Roman" w:hAnsi="Times New Roman" w:cs="Times New Roman"/>
        </w:rPr>
        <w:t>(</w:t>
      </w:r>
      <w:r w:rsidR="00810E6B" w:rsidRPr="003B09B5">
        <w:rPr>
          <w:rFonts w:ascii="Times New Roman" w:hAnsi="Times New Roman" w:cs="Times New Roman"/>
        </w:rPr>
        <w:t>C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="00810E6B" w:rsidRPr="003B09B5">
        <w:rPr>
          <w:rFonts w:ascii="Times New Roman" w:hAnsi="Times New Roman" w:cs="Times New Roman"/>
        </w:rPr>
        <w:t>D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 xml:space="preserve"> – 300 mM NaCl, 20 mM sodium phosphate pH 7.5, 100 mM imidazole-HCl mobile phase; </w:t>
      </w:r>
      <w:r w:rsidR="006C14C7">
        <w:rPr>
          <w:rFonts w:ascii="Times New Roman" w:hAnsi="Times New Roman" w:cs="Times New Roman"/>
        </w:rPr>
        <w:t>(</w:t>
      </w:r>
      <w:r w:rsidR="00810E6B" w:rsidRPr="003B09B5">
        <w:rPr>
          <w:rFonts w:ascii="Times New Roman" w:hAnsi="Times New Roman" w:cs="Times New Roman"/>
        </w:rPr>
        <w:t>E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>,</w:t>
      </w:r>
      <w:r w:rsidR="006C14C7">
        <w:rPr>
          <w:rFonts w:ascii="Times New Roman" w:hAnsi="Times New Roman" w:cs="Times New Roman"/>
        </w:rPr>
        <w:t xml:space="preserve"> (</w:t>
      </w:r>
      <w:r w:rsidR="00810E6B" w:rsidRPr="003B09B5">
        <w:rPr>
          <w:rFonts w:ascii="Times New Roman" w:hAnsi="Times New Roman" w:cs="Times New Roman"/>
        </w:rPr>
        <w:t>F</w:t>
      </w:r>
      <w:r w:rsidR="006C14C7">
        <w:rPr>
          <w:rFonts w:ascii="Times New Roman" w:hAnsi="Times New Roman" w:cs="Times New Roman"/>
        </w:rPr>
        <w:t>)</w:t>
      </w:r>
      <w:r w:rsidR="00810E6B" w:rsidRPr="003B09B5">
        <w:rPr>
          <w:rFonts w:ascii="Times New Roman" w:hAnsi="Times New Roman" w:cs="Times New Roman"/>
        </w:rPr>
        <w:t xml:space="preserve"> - </w:t>
      </w:r>
      <w:r w:rsidR="003B09B5" w:rsidRPr="003B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 NaCl, 20 mM sodium phosphate </w:t>
      </w:r>
      <w:r w:rsidR="003B09B5" w:rsidRPr="003B09B5">
        <w:rPr>
          <w:rFonts w:ascii="Times New Roman" w:hAnsi="Times New Roman" w:cs="Times New Roman"/>
        </w:rPr>
        <w:t>pH 7.5</w:t>
      </w:r>
      <w:r w:rsidR="003B09B5" w:rsidRPr="003B09B5">
        <w:rPr>
          <w:rFonts w:ascii="Times New Roman" w:hAnsi="Times New Roman" w:cs="Times New Roman"/>
          <w:color w:val="000000" w:themeColor="text1"/>
          <w:sz w:val="24"/>
          <w:szCs w:val="24"/>
        </w:rPr>
        <w:t>, 100 mM imidazole as the mobile phase</w:t>
      </w:r>
      <w:r w:rsidR="00810E6B" w:rsidRPr="003B09B5">
        <w:rPr>
          <w:rFonts w:ascii="Times New Roman" w:hAnsi="Times New Roman" w:cs="Times New Roman"/>
        </w:rPr>
        <w:t>.</w:t>
      </w:r>
      <w:r w:rsidR="003B09B5">
        <w:rPr>
          <w:rFonts w:ascii="Times New Roman" w:hAnsi="Times New Roman" w:cs="Times New Roman"/>
        </w:rPr>
        <w:t xml:space="preserve"> Panels </w:t>
      </w:r>
      <w:r w:rsidR="006C14C7">
        <w:rPr>
          <w:rFonts w:ascii="Times New Roman" w:hAnsi="Times New Roman" w:cs="Times New Roman"/>
        </w:rPr>
        <w:t>(</w:t>
      </w:r>
      <w:r w:rsidR="003B09B5">
        <w:rPr>
          <w:rFonts w:ascii="Times New Roman" w:hAnsi="Times New Roman" w:cs="Times New Roman"/>
        </w:rPr>
        <w:t>C</w:t>
      </w:r>
      <w:r w:rsidR="006C14C7">
        <w:rPr>
          <w:rFonts w:ascii="Times New Roman" w:hAnsi="Times New Roman" w:cs="Times New Roman"/>
        </w:rPr>
        <w:t>)</w:t>
      </w:r>
      <w:r w:rsid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="003B09B5">
        <w:rPr>
          <w:rFonts w:ascii="Times New Roman" w:hAnsi="Times New Roman" w:cs="Times New Roman"/>
        </w:rPr>
        <w:t>D</w:t>
      </w:r>
      <w:r w:rsidR="006C14C7">
        <w:rPr>
          <w:rFonts w:ascii="Times New Roman" w:hAnsi="Times New Roman" w:cs="Times New Roman"/>
        </w:rPr>
        <w:t>)</w:t>
      </w:r>
      <w:r w:rsidR="003B09B5">
        <w:rPr>
          <w:rFonts w:ascii="Times New Roman" w:hAnsi="Times New Roman" w:cs="Times New Roman"/>
        </w:rPr>
        <w:t xml:space="preserve"> are same to the Fig. </w:t>
      </w:r>
      <w:r w:rsidR="00212C3E">
        <w:rPr>
          <w:rFonts w:ascii="Times New Roman" w:hAnsi="Times New Roman" w:cs="Times New Roman"/>
        </w:rPr>
        <w:t>2 E, F and are shown here for ease of the direct visual analysis.</w:t>
      </w:r>
    </w:p>
    <w:p w14:paraId="52A9C621" w14:textId="4769FD5E" w:rsidR="00810E6B" w:rsidRDefault="00810E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E9C3775" w14:textId="29E9E1F8" w:rsidR="00212C3E" w:rsidRDefault="00890687" w:rsidP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F552401" wp14:editId="535CCB23">
            <wp:extent cx="5953125" cy="2362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CAD3" w14:textId="5D2657D2" w:rsidR="009E100C" w:rsidRDefault="00810E6B" w:rsidP="00866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Figure S7. </w:t>
      </w:r>
      <w:r w:rsidR="00212C3E" w:rsidRPr="00810E6B">
        <w:rPr>
          <w:rFonts w:ascii="Times New Roman" w:hAnsi="Times New Roman" w:cs="Times New Roman"/>
          <w:b/>
          <w:bCs/>
        </w:rPr>
        <w:t xml:space="preserve">Chromatography traces of the NP and </w:t>
      </w:r>
      <w:r w:rsidR="00212C3E">
        <w:rPr>
          <w:rFonts w:ascii="Times New Roman" w:hAnsi="Times New Roman" w:cs="Times New Roman"/>
          <w:b/>
          <w:bCs/>
        </w:rPr>
        <w:t>NTD</w:t>
      </w:r>
      <w:r w:rsidR="00212C3E" w:rsidRPr="00810E6B">
        <w:rPr>
          <w:rFonts w:ascii="Times New Roman" w:hAnsi="Times New Roman" w:cs="Times New Roman"/>
          <w:b/>
          <w:bCs/>
        </w:rPr>
        <w:t xml:space="preserve"> protein preparations</w:t>
      </w:r>
      <w:r w:rsidR="00212C3E">
        <w:rPr>
          <w:rFonts w:ascii="Times New Roman" w:hAnsi="Times New Roman" w:cs="Times New Roman"/>
          <w:b/>
          <w:bCs/>
        </w:rPr>
        <w:t xml:space="preserve"> size exclusion chromatography analysis</w:t>
      </w:r>
      <w:r w:rsidR="00212C3E" w:rsidRPr="00810E6B">
        <w:rPr>
          <w:rFonts w:ascii="Times New Roman" w:hAnsi="Times New Roman" w:cs="Times New Roman"/>
          <w:b/>
          <w:bCs/>
        </w:rPr>
        <w:t xml:space="preserve">, </w:t>
      </w:r>
      <w:r w:rsidR="00E219E0">
        <w:rPr>
          <w:rFonts w:ascii="Times New Roman" w:hAnsi="Times New Roman" w:cs="Times New Roman"/>
          <w:b/>
          <w:bCs/>
        </w:rPr>
        <w:t xml:space="preserve">MALS and 280 nm </w:t>
      </w:r>
      <w:r w:rsidR="00212C3E">
        <w:rPr>
          <w:rFonts w:ascii="Times New Roman" w:hAnsi="Times New Roman" w:cs="Times New Roman"/>
          <w:b/>
          <w:bCs/>
        </w:rPr>
        <w:t>detection</w:t>
      </w:r>
      <w:r w:rsidR="00212C3E" w:rsidRPr="00E219E0">
        <w:rPr>
          <w:rFonts w:ascii="Times New Roman" w:hAnsi="Times New Roman" w:cs="Times New Roman"/>
        </w:rPr>
        <w:t>.</w:t>
      </w:r>
      <w:r w:rsidR="00E219E0" w:rsidRPr="00E219E0">
        <w:rPr>
          <w:rFonts w:ascii="Times New Roman" w:hAnsi="Times New Roman" w:cs="Times New Roman"/>
        </w:rPr>
        <w:t xml:space="preserve"> </w:t>
      </w:r>
      <w:r w:rsidR="006C14C7">
        <w:rPr>
          <w:rFonts w:ascii="Times New Roman" w:hAnsi="Times New Roman" w:cs="Times New Roman"/>
        </w:rPr>
        <w:t>(</w:t>
      </w:r>
      <w:r w:rsidR="00E219E0" w:rsidRPr="00E219E0">
        <w:rPr>
          <w:rFonts w:ascii="Times New Roman" w:hAnsi="Times New Roman" w:cs="Times New Roman"/>
        </w:rPr>
        <w:t>A</w:t>
      </w:r>
      <w:r w:rsidR="006C14C7">
        <w:rPr>
          <w:rFonts w:ascii="Times New Roman" w:hAnsi="Times New Roman" w:cs="Times New Roman"/>
        </w:rPr>
        <w:t>)</w:t>
      </w:r>
      <w:r w:rsidR="00E219E0" w:rsidRPr="00E219E0">
        <w:rPr>
          <w:rFonts w:ascii="Times New Roman" w:hAnsi="Times New Roman" w:cs="Times New Roman"/>
        </w:rPr>
        <w:t xml:space="preserve"> – NP; </w:t>
      </w:r>
      <w:r w:rsidR="006C14C7">
        <w:rPr>
          <w:rFonts w:ascii="Times New Roman" w:hAnsi="Times New Roman" w:cs="Times New Roman"/>
        </w:rPr>
        <w:t>(</w:t>
      </w:r>
      <w:r w:rsidR="00E219E0" w:rsidRPr="00E219E0">
        <w:rPr>
          <w:rFonts w:ascii="Times New Roman" w:hAnsi="Times New Roman" w:cs="Times New Roman"/>
        </w:rPr>
        <w:t>B</w:t>
      </w:r>
      <w:r w:rsidR="006C14C7">
        <w:rPr>
          <w:rFonts w:ascii="Times New Roman" w:hAnsi="Times New Roman" w:cs="Times New Roman"/>
        </w:rPr>
        <w:t>)</w:t>
      </w:r>
      <w:r w:rsidR="00E219E0" w:rsidRPr="00E219E0">
        <w:rPr>
          <w:rFonts w:ascii="Times New Roman" w:hAnsi="Times New Roman" w:cs="Times New Roman"/>
        </w:rPr>
        <w:t xml:space="preserve"> – NTD</w:t>
      </w:r>
      <w:r w:rsidR="00E219E0">
        <w:rPr>
          <w:rFonts w:ascii="Times New Roman" w:hAnsi="Times New Roman" w:cs="Times New Roman"/>
          <w:b/>
          <w:bCs/>
        </w:rPr>
        <w:t xml:space="preserve">. </w:t>
      </w:r>
      <w:r w:rsidR="00E219E0" w:rsidRPr="00E219E0">
        <w:rPr>
          <w:rFonts w:ascii="Times New Roman" w:hAnsi="Times New Roman" w:cs="Times New Roman"/>
        </w:rPr>
        <w:t>Molar masses</w:t>
      </w:r>
      <w:r w:rsidR="00E219E0">
        <w:rPr>
          <w:rFonts w:ascii="Times New Roman" w:hAnsi="Times New Roman" w:cs="Times New Roman"/>
        </w:rPr>
        <w:t>, determined by the MALS detector, are shown on left side of peaks, molecular masses, determined by the calibration curve interpolation, are shown above peaks.</w:t>
      </w:r>
    </w:p>
    <w:p w14:paraId="2303EC28" w14:textId="77777777" w:rsidR="009E100C" w:rsidRDefault="009E1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7C99D6" w14:textId="3F37A2D0" w:rsidR="005544F0" w:rsidRDefault="00563ADE" w:rsidP="00866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ru-RU"/>
        </w:rPr>
        <w:lastRenderedPageBreak/>
        <w:drawing>
          <wp:inline distT="0" distB="0" distL="0" distR="0" wp14:anchorId="1C7AB4B5" wp14:editId="007501C4">
            <wp:extent cx="5962650" cy="5000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361" w:rsidRPr="00A15E0E">
        <w:rPr>
          <w:rFonts w:ascii="Times New Roman" w:hAnsi="Times New Roman" w:cs="Times New Roman"/>
          <w:b/>
        </w:rPr>
        <w:t>Figure S</w:t>
      </w:r>
      <w:r w:rsidR="00D13361">
        <w:rPr>
          <w:rFonts w:ascii="Times New Roman" w:hAnsi="Times New Roman" w:cs="Times New Roman"/>
          <w:b/>
        </w:rPr>
        <w:t>8</w:t>
      </w:r>
      <w:r w:rsidR="00D13361" w:rsidRPr="00A15E0E">
        <w:rPr>
          <w:rFonts w:ascii="Times New Roman" w:hAnsi="Times New Roman" w:cs="Times New Roman"/>
          <w:b/>
        </w:rPr>
        <w:t>. Size distribution by dynamic light scattering</w:t>
      </w:r>
      <w:r w:rsidR="00D13361" w:rsidRPr="00A15E0E">
        <w:rPr>
          <w:rFonts w:ascii="Times New Roman" w:hAnsi="Times New Roman" w:cs="Times New Roman"/>
        </w:rPr>
        <w:t xml:space="preserve"> </w:t>
      </w:r>
      <w:r w:rsidR="00D13361" w:rsidRPr="00A15E0E">
        <w:rPr>
          <w:rFonts w:ascii="Times New Roman" w:hAnsi="Times New Roman" w:cs="Times New Roman"/>
          <w:b/>
          <w:bCs/>
        </w:rPr>
        <w:t xml:space="preserve">for NP </w:t>
      </w:r>
      <w:r w:rsidR="00D13361">
        <w:rPr>
          <w:rFonts w:ascii="Times New Roman" w:hAnsi="Times New Roman" w:cs="Times New Roman"/>
          <w:b/>
          <w:bCs/>
        </w:rPr>
        <w:t>variants</w:t>
      </w:r>
      <w:r w:rsidR="00D13361" w:rsidRPr="00A15E0E">
        <w:rPr>
          <w:rFonts w:ascii="Times New Roman" w:hAnsi="Times New Roman" w:cs="Times New Roman"/>
        </w:rPr>
        <w:t>. (A)</w:t>
      </w:r>
      <w:r w:rsidR="000B41BB">
        <w:rPr>
          <w:rFonts w:ascii="Times New Roman" w:hAnsi="Times New Roman" w:cs="Times New Roman"/>
        </w:rPr>
        <w:t>, (B)</w:t>
      </w:r>
      <w:r w:rsidR="00D13361" w:rsidRPr="00A15E0E">
        <w:rPr>
          <w:rFonts w:ascii="Times New Roman" w:hAnsi="Times New Roman" w:cs="Times New Roman"/>
        </w:rPr>
        <w:t xml:space="preserve"> – </w:t>
      </w:r>
      <w:r w:rsidR="000B41BB">
        <w:rPr>
          <w:rFonts w:ascii="Times New Roman" w:hAnsi="Times New Roman" w:cs="Times New Roman"/>
        </w:rPr>
        <w:t xml:space="preserve">particle </w:t>
      </w:r>
      <w:r w:rsidR="00D13361">
        <w:rPr>
          <w:rFonts w:ascii="Times New Roman" w:hAnsi="Times New Roman" w:cs="Times New Roman"/>
        </w:rPr>
        <w:t>size distribution by intensity</w:t>
      </w:r>
      <w:r w:rsidR="000B41BB">
        <w:rPr>
          <w:rFonts w:ascii="Times New Roman" w:hAnsi="Times New Roman" w:cs="Times New Roman"/>
        </w:rPr>
        <w:t xml:space="preserve"> and volume</w:t>
      </w:r>
      <w:r w:rsidR="00D13361" w:rsidRPr="00A15E0E">
        <w:rPr>
          <w:rFonts w:ascii="Times New Roman" w:hAnsi="Times New Roman" w:cs="Times New Roman"/>
        </w:rPr>
        <w:t xml:space="preserve"> </w:t>
      </w:r>
      <w:r w:rsidR="000B41BB">
        <w:rPr>
          <w:rFonts w:ascii="Times New Roman" w:hAnsi="Times New Roman" w:cs="Times New Roman"/>
        </w:rPr>
        <w:t>for the</w:t>
      </w:r>
      <w:r w:rsidR="00D13361">
        <w:rPr>
          <w:rFonts w:ascii="Times New Roman" w:hAnsi="Times New Roman" w:cs="Times New Roman"/>
        </w:rPr>
        <w:t xml:space="preserve"> </w:t>
      </w:r>
      <w:r w:rsidR="00D13361" w:rsidRPr="00A15E0E">
        <w:rPr>
          <w:rFonts w:ascii="Times New Roman" w:hAnsi="Times New Roman" w:cs="Times New Roman"/>
        </w:rPr>
        <w:t xml:space="preserve">pure NP antigen. </w:t>
      </w:r>
      <w:r w:rsidR="00D13361">
        <w:rPr>
          <w:rFonts w:ascii="Times New Roman" w:hAnsi="Times New Roman" w:cs="Times New Roman"/>
        </w:rPr>
        <w:t>(C)</w:t>
      </w:r>
      <w:r w:rsidR="000B41BB">
        <w:rPr>
          <w:rFonts w:ascii="Times New Roman" w:hAnsi="Times New Roman" w:cs="Times New Roman"/>
        </w:rPr>
        <w:t>, (D)</w:t>
      </w:r>
      <w:r w:rsidR="00D13361">
        <w:rPr>
          <w:rFonts w:ascii="Times New Roman" w:hAnsi="Times New Roman" w:cs="Times New Roman"/>
        </w:rPr>
        <w:t xml:space="preserve"> – </w:t>
      </w:r>
      <w:r w:rsidR="000B41BB">
        <w:rPr>
          <w:rFonts w:ascii="Times New Roman" w:hAnsi="Times New Roman" w:cs="Times New Roman"/>
        </w:rPr>
        <w:t xml:space="preserve">RNase A – treated NP, no 2 M NaCl wash. (E), (F) – Rnase A – untreated NP, with 2 M NaCl wash. (G), (H) – NP-RNA. </w:t>
      </w:r>
    </w:p>
    <w:p w14:paraId="339715EB" w14:textId="31AA4D15" w:rsidR="005544F0" w:rsidRDefault="0055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C32B41" w14:textId="559A64F8" w:rsidR="000B41BB" w:rsidRDefault="000B41BB" w:rsidP="00D13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5257953" wp14:editId="1C146604">
            <wp:extent cx="5934075" cy="4514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3FED" w14:textId="67F278B7" w:rsidR="00D13361" w:rsidRDefault="000B41BB" w:rsidP="00D13361">
      <w:pPr>
        <w:rPr>
          <w:rFonts w:ascii="Times New Roman" w:hAnsi="Times New Roman" w:cs="Times New Roman"/>
        </w:rPr>
      </w:pPr>
      <w:r w:rsidRPr="00A15E0E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9</w:t>
      </w:r>
      <w:r w:rsidRPr="00A15E0E">
        <w:rPr>
          <w:rFonts w:ascii="Times New Roman" w:hAnsi="Times New Roman" w:cs="Times New Roman"/>
          <w:b/>
        </w:rPr>
        <w:t>. Size distribution by dynamic light scattering</w:t>
      </w:r>
      <w:r w:rsidRPr="00A15E0E">
        <w:rPr>
          <w:rFonts w:ascii="Times New Roman" w:hAnsi="Times New Roman" w:cs="Times New Roman"/>
        </w:rPr>
        <w:t xml:space="preserve"> </w:t>
      </w:r>
      <w:r w:rsidRPr="00A15E0E">
        <w:rPr>
          <w:rFonts w:ascii="Times New Roman" w:hAnsi="Times New Roman" w:cs="Times New Roman"/>
          <w:b/>
          <w:bCs/>
        </w:rPr>
        <w:t xml:space="preserve">for </w:t>
      </w:r>
      <w:r>
        <w:rPr>
          <w:rFonts w:ascii="Times New Roman" w:hAnsi="Times New Roman" w:cs="Times New Roman"/>
          <w:b/>
          <w:bCs/>
        </w:rPr>
        <w:t>NTD</w:t>
      </w:r>
      <w:r w:rsidRPr="00A15E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variants</w:t>
      </w:r>
      <w:r w:rsidRPr="00A15E0E">
        <w:rPr>
          <w:rFonts w:ascii="Times New Roman" w:hAnsi="Times New Roman" w:cs="Times New Roman"/>
        </w:rPr>
        <w:t>. (A)</w:t>
      </w:r>
      <w:r>
        <w:rPr>
          <w:rFonts w:ascii="Times New Roman" w:hAnsi="Times New Roman" w:cs="Times New Roman"/>
        </w:rPr>
        <w:t>, (B)</w:t>
      </w:r>
      <w:r w:rsidRPr="00A15E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particle size distribution by intensity and volume</w:t>
      </w:r>
      <w:r w:rsidRPr="00A15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 </w:t>
      </w:r>
      <w:r w:rsidRPr="00A15E0E">
        <w:rPr>
          <w:rFonts w:ascii="Times New Roman" w:hAnsi="Times New Roman" w:cs="Times New Roman"/>
        </w:rPr>
        <w:t xml:space="preserve">pure </w:t>
      </w:r>
      <w:r>
        <w:rPr>
          <w:rFonts w:ascii="Times New Roman" w:hAnsi="Times New Roman" w:cs="Times New Roman"/>
        </w:rPr>
        <w:t>NTD</w:t>
      </w:r>
      <w:r w:rsidRPr="00A15E0E">
        <w:rPr>
          <w:rFonts w:ascii="Times New Roman" w:hAnsi="Times New Roman" w:cs="Times New Roman"/>
        </w:rPr>
        <w:t xml:space="preserve"> antigen. </w:t>
      </w:r>
      <w:r>
        <w:rPr>
          <w:rFonts w:ascii="Times New Roman" w:hAnsi="Times New Roman" w:cs="Times New Roman"/>
        </w:rPr>
        <w:t>(C), (D) – RNase A – treated NTD, no 2 M NaCl wash. (E), (F) – Rnase A – untreated NTD, with 2 M NaCl wash. (G), (H) – NTD-RNA.</w:t>
      </w:r>
      <w:r w:rsidR="00D13361">
        <w:rPr>
          <w:rFonts w:ascii="Times New Roman" w:hAnsi="Times New Roman" w:cs="Times New Roman"/>
        </w:rPr>
        <w:br w:type="page"/>
      </w:r>
    </w:p>
    <w:p w14:paraId="6D5BEFC6" w14:textId="77777777" w:rsidR="00D13361" w:rsidRDefault="00D13361">
      <w:pPr>
        <w:rPr>
          <w:rFonts w:ascii="Times New Roman" w:hAnsi="Times New Roman" w:cs="Times New Roman"/>
        </w:rPr>
      </w:pPr>
    </w:p>
    <w:p w14:paraId="4FB8E919" w14:textId="2253031D" w:rsidR="005544F0" w:rsidRDefault="005544F0" w:rsidP="005544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5C64715" wp14:editId="47FBCF78">
            <wp:extent cx="5962650" cy="7124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28B0" w14:textId="022887E8" w:rsidR="005544F0" w:rsidRDefault="005544F0">
      <w:pPr>
        <w:rPr>
          <w:rFonts w:ascii="Times New Roman" w:hAnsi="Times New Roman" w:cs="Times New Roman"/>
          <w:b/>
          <w:bCs/>
        </w:rPr>
      </w:pPr>
      <w:r w:rsidRPr="009E240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S</w:t>
      </w:r>
      <w:r w:rsidR="00D13361">
        <w:rPr>
          <w:rFonts w:ascii="Times New Roman" w:hAnsi="Times New Roman" w:cs="Times New Roman"/>
          <w:b/>
          <w:bCs/>
        </w:rPr>
        <w:t>10</w:t>
      </w:r>
      <w:r w:rsidRPr="009E240B">
        <w:rPr>
          <w:rFonts w:ascii="Times New Roman" w:hAnsi="Times New Roman" w:cs="Times New Roman"/>
          <w:b/>
          <w:bCs/>
        </w:rPr>
        <w:t xml:space="preserve">. </w:t>
      </w:r>
      <w:r w:rsidRPr="00810E6B">
        <w:rPr>
          <w:rFonts w:ascii="Times New Roman" w:hAnsi="Times New Roman" w:cs="Times New Roman"/>
          <w:b/>
          <w:bCs/>
        </w:rPr>
        <w:t>Chromatography traces of the N</w:t>
      </w:r>
      <w:r>
        <w:rPr>
          <w:rFonts w:ascii="Times New Roman" w:hAnsi="Times New Roman" w:cs="Times New Roman"/>
          <w:b/>
          <w:bCs/>
        </w:rPr>
        <w:t>TD</w:t>
      </w:r>
      <w:r w:rsidRPr="00810E6B">
        <w:rPr>
          <w:rFonts w:ascii="Times New Roman" w:hAnsi="Times New Roman" w:cs="Times New Roman"/>
          <w:b/>
          <w:bCs/>
        </w:rPr>
        <w:t xml:space="preserve"> and </w:t>
      </w:r>
      <w:r>
        <w:rPr>
          <w:rFonts w:ascii="Times New Roman" w:hAnsi="Times New Roman" w:cs="Times New Roman"/>
          <w:b/>
          <w:bCs/>
        </w:rPr>
        <w:t>NTD</w:t>
      </w:r>
      <w:r w:rsidRPr="00810E6B">
        <w:rPr>
          <w:rFonts w:ascii="Times New Roman" w:hAnsi="Times New Roman" w:cs="Times New Roman"/>
          <w:b/>
          <w:bCs/>
        </w:rPr>
        <w:t>-RNA protein preparations</w:t>
      </w:r>
      <w:r>
        <w:rPr>
          <w:rFonts w:ascii="Times New Roman" w:hAnsi="Times New Roman" w:cs="Times New Roman"/>
          <w:b/>
          <w:bCs/>
        </w:rPr>
        <w:t xml:space="preserve"> size exclusion chromatography analysis</w:t>
      </w:r>
      <w:r w:rsidRPr="00810E6B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dual wavelength optical detection. </w:t>
      </w:r>
      <w:r w:rsidR="006C14C7">
        <w:rPr>
          <w:rFonts w:ascii="Times New Roman" w:hAnsi="Times New Roman" w:cs="Times New Roman"/>
          <w:b/>
          <w:bCs/>
        </w:rPr>
        <w:t>(</w:t>
      </w:r>
      <w:r w:rsidRPr="003B09B5">
        <w:rPr>
          <w:rFonts w:ascii="Times New Roman" w:hAnsi="Times New Roman" w:cs="Times New Roman"/>
        </w:rPr>
        <w:t>A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Pr="003B09B5">
        <w:rPr>
          <w:rFonts w:ascii="Times New Roman" w:hAnsi="Times New Roman" w:cs="Times New Roman"/>
        </w:rPr>
        <w:t>B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 - PBS as the mobile phase; </w:t>
      </w:r>
      <w:r w:rsidR="006C14C7">
        <w:rPr>
          <w:rFonts w:ascii="Times New Roman" w:hAnsi="Times New Roman" w:cs="Times New Roman"/>
        </w:rPr>
        <w:t>(</w:t>
      </w:r>
      <w:r w:rsidRPr="003B09B5">
        <w:rPr>
          <w:rFonts w:ascii="Times New Roman" w:hAnsi="Times New Roman" w:cs="Times New Roman"/>
        </w:rPr>
        <w:t>C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Pr="003B09B5">
        <w:rPr>
          <w:rFonts w:ascii="Times New Roman" w:hAnsi="Times New Roman" w:cs="Times New Roman"/>
        </w:rPr>
        <w:t>D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 – 300 mM NaCl, 20 mM sodium phosphate pH 7.5, 100 mM imidazole-HCl mobile phase; </w:t>
      </w:r>
      <w:r w:rsidR="006C14C7">
        <w:rPr>
          <w:rFonts w:ascii="Times New Roman" w:hAnsi="Times New Roman" w:cs="Times New Roman"/>
        </w:rPr>
        <w:t>(</w:t>
      </w:r>
      <w:r w:rsidRPr="003B09B5">
        <w:rPr>
          <w:rFonts w:ascii="Times New Roman" w:hAnsi="Times New Roman" w:cs="Times New Roman"/>
        </w:rPr>
        <w:t>E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, </w:t>
      </w:r>
      <w:r w:rsidR="006C14C7">
        <w:rPr>
          <w:rFonts w:ascii="Times New Roman" w:hAnsi="Times New Roman" w:cs="Times New Roman"/>
        </w:rPr>
        <w:t>(</w:t>
      </w:r>
      <w:r w:rsidRPr="003B09B5">
        <w:rPr>
          <w:rFonts w:ascii="Times New Roman" w:hAnsi="Times New Roman" w:cs="Times New Roman"/>
        </w:rPr>
        <w:t>F</w:t>
      </w:r>
      <w:r w:rsidR="006C14C7">
        <w:rPr>
          <w:rFonts w:ascii="Times New Roman" w:hAnsi="Times New Roman" w:cs="Times New Roman"/>
        </w:rPr>
        <w:t>)</w:t>
      </w:r>
      <w:r w:rsidRPr="003B09B5">
        <w:rPr>
          <w:rFonts w:ascii="Times New Roman" w:hAnsi="Times New Roman" w:cs="Times New Roman"/>
        </w:rPr>
        <w:t xml:space="preserve"> - </w:t>
      </w:r>
      <w:r w:rsidRPr="003B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 NaCl, 20 mM sodium phosphate </w:t>
      </w:r>
      <w:r w:rsidRPr="003B09B5">
        <w:rPr>
          <w:rFonts w:ascii="Times New Roman" w:hAnsi="Times New Roman" w:cs="Times New Roman"/>
        </w:rPr>
        <w:t>pH 7.5</w:t>
      </w:r>
      <w:r w:rsidRPr="003B09B5">
        <w:rPr>
          <w:rFonts w:ascii="Times New Roman" w:hAnsi="Times New Roman" w:cs="Times New Roman"/>
          <w:color w:val="000000" w:themeColor="text1"/>
          <w:sz w:val="24"/>
          <w:szCs w:val="24"/>
        </w:rPr>
        <w:t>, 100 mM imidazole as the mobile phase</w:t>
      </w:r>
      <w:r w:rsidRPr="003B09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br w:type="page"/>
      </w:r>
    </w:p>
    <w:p w14:paraId="74C73091" w14:textId="0CFA4351" w:rsidR="005544F0" w:rsidRDefault="00A25539" w:rsidP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4C2645F" wp14:editId="7143A240">
            <wp:extent cx="5838825" cy="6981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C0C9" w14:textId="07379147" w:rsidR="0089691D" w:rsidRDefault="005544F0" w:rsidP="00866D0D">
      <w:pPr>
        <w:rPr>
          <w:rFonts w:ascii="Times New Roman" w:hAnsi="Times New Roman" w:cs="Times New Roman"/>
        </w:rPr>
      </w:pPr>
      <w:r w:rsidRPr="005544F0">
        <w:rPr>
          <w:rFonts w:ascii="Times New Roman" w:hAnsi="Times New Roman" w:cs="Times New Roman"/>
          <w:b/>
          <w:bCs/>
        </w:rPr>
        <w:t>Figure S</w:t>
      </w:r>
      <w:r w:rsidR="009E100C">
        <w:rPr>
          <w:rFonts w:ascii="Times New Roman" w:hAnsi="Times New Roman" w:cs="Times New Roman"/>
          <w:b/>
          <w:bCs/>
        </w:rPr>
        <w:t>1</w:t>
      </w:r>
      <w:r w:rsidR="00D13361">
        <w:rPr>
          <w:rFonts w:ascii="Times New Roman" w:hAnsi="Times New Roman" w:cs="Times New Roman"/>
          <w:b/>
          <w:bCs/>
        </w:rPr>
        <w:t>1</w:t>
      </w:r>
      <w:r w:rsidRPr="005544F0">
        <w:rPr>
          <w:rFonts w:ascii="Times New Roman" w:hAnsi="Times New Roman" w:cs="Times New Roman"/>
          <w:b/>
          <w:bCs/>
        </w:rPr>
        <w:t>. Antibody capture ELISA</w:t>
      </w:r>
      <w:r>
        <w:rPr>
          <w:rFonts w:ascii="Times New Roman" w:hAnsi="Times New Roman" w:cs="Times New Roman"/>
          <w:b/>
          <w:bCs/>
        </w:rPr>
        <w:t xml:space="preserve"> and dynamics of the assay specificity ratios</w:t>
      </w:r>
      <w:r w:rsidRPr="005544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for various purification methods, NP </w:t>
      </w:r>
      <w:r w:rsidRPr="005544F0">
        <w:rPr>
          <w:rFonts w:ascii="Times New Roman" w:hAnsi="Times New Roman" w:cs="Times New Roman"/>
          <w:b/>
          <w:bCs/>
        </w:rPr>
        <w:t>antigen</w:t>
      </w:r>
      <w:r>
        <w:rPr>
          <w:rFonts w:ascii="Times New Roman" w:hAnsi="Times New Roman" w:cs="Times New Roman"/>
        </w:rPr>
        <w:t xml:space="preserve">. </w:t>
      </w:r>
      <w:r w:rsidR="006C14C7">
        <w:rPr>
          <w:rFonts w:ascii="Times New Roman" w:hAnsi="Times New Roman" w:cs="Times New Roman"/>
        </w:rPr>
        <w:t>(</w:t>
      </w:r>
      <w:r w:rsidR="00513631">
        <w:rPr>
          <w:rFonts w:ascii="Times New Roman" w:hAnsi="Times New Roman" w:cs="Times New Roman"/>
        </w:rPr>
        <w:t>A</w:t>
      </w:r>
      <w:r w:rsidR="006C14C7">
        <w:rPr>
          <w:rFonts w:ascii="Times New Roman" w:hAnsi="Times New Roman" w:cs="Times New Roman"/>
        </w:rPr>
        <w:t>)</w:t>
      </w:r>
      <w:r w:rsidR="00513631">
        <w:rPr>
          <w:rFonts w:ascii="Times New Roman" w:hAnsi="Times New Roman" w:cs="Times New Roman"/>
        </w:rPr>
        <w:t xml:space="preserve"> – pure NP antigen, protein preparation and the ELISA test was independent from the test shown on Figure 3. </w:t>
      </w:r>
      <w:r w:rsidR="006C14C7">
        <w:rPr>
          <w:rFonts w:ascii="Times New Roman" w:hAnsi="Times New Roman" w:cs="Times New Roman"/>
        </w:rPr>
        <w:t>(</w:t>
      </w:r>
      <w:r w:rsidR="00513631">
        <w:rPr>
          <w:rFonts w:ascii="Times New Roman" w:hAnsi="Times New Roman" w:cs="Times New Roman"/>
        </w:rPr>
        <w:t>B</w:t>
      </w:r>
      <w:r w:rsidR="006C14C7">
        <w:rPr>
          <w:rFonts w:ascii="Times New Roman" w:hAnsi="Times New Roman" w:cs="Times New Roman"/>
        </w:rPr>
        <w:t>)</w:t>
      </w:r>
      <w:r w:rsidR="00513631">
        <w:rPr>
          <w:rFonts w:ascii="Times New Roman" w:hAnsi="Times New Roman" w:cs="Times New Roman"/>
        </w:rPr>
        <w:t xml:space="preserve"> – NP protein antigen, treated by the RNase A and not treated by the on-column 2 M NaCl wash. </w:t>
      </w:r>
      <w:r w:rsidR="006C14C7">
        <w:rPr>
          <w:rFonts w:ascii="Times New Roman" w:hAnsi="Times New Roman" w:cs="Times New Roman"/>
        </w:rPr>
        <w:t>(</w:t>
      </w:r>
      <w:r w:rsidR="00513631">
        <w:rPr>
          <w:rFonts w:ascii="Times New Roman" w:hAnsi="Times New Roman" w:cs="Times New Roman"/>
        </w:rPr>
        <w:t>C</w:t>
      </w:r>
      <w:r w:rsidR="006C14C7">
        <w:rPr>
          <w:rFonts w:ascii="Times New Roman" w:hAnsi="Times New Roman" w:cs="Times New Roman"/>
        </w:rPr>
        <w:t>)</w:t>
      </w:r>
      <w:r w:rsidR="00513631">
        <w:rPr>
          <w:rFonts w:ascii="Times New Roman" w:hAnsi="Times New Roman" w:cs="Times New Roman"/>
        </w:rPr>
        <w:t xml:space="preserve"> - NP protein antigen, not treated by the RNase A and treated by the on-column 2 M NaCl wash. </w:t>
      </w:r>
      <w:r w:rsidR="006C14C7">
        <w:rPr>
          <w:rFonts w:ascii="Times New Roman" w:hAnsi="Times New Roman" w:cs="Times New Roman"/>
        </w:rPr>
        <w:t>(</w:t>
      </w:r>
      <w:r w:rsidR="00513631">
        <w:rPr>
          <w:rFonts w:ascii="Times New Roman" w:hAnsi="Times New Roman" w:cs="Times New Roman"/>
        </w:rPr>
        <w:t>D</w:t>
      </w:r>
      <w:r w:rsidR="006C14C7">
        <w:rPr>
          <w:rFonts w:ascii="Times New Roman" w:hAnsi="Times New Roman" w:cs="Times New Roman"/>
        </w:rPr>
        <w:t>)</w:t>
      </w:r>
      <w:r w:rsidR="00513631">
        <w:rPr>
          <w:rFonts w:ascii="Times New Roman" w:hAnsi="Times New Roman" w:cs="Times New Roman"/>
        </w:rPr>
        <w:t xml:space="preserve"> – NP-RNA antigen, protein preparation and the ELISA test was independent from the test shown on Figure 3. E – negative control TrxA antigen, purified exactly as </w:t>
      </w:r>
      <w:r w:rsidR="00513631">
        <w:rPr>
          <w:rFonts w:ascii="Times New Roman" w:hAnsi="Times New Roman" w:cs="Times New Roman"/>
        </w:rPr>
        <w:lastRenderedPageBreak/>
        <w:t xml:space="preserve">the NP antigen. </w:t>
      </w:r>
      <w:r w:rsidR="006C14C7">
        <w:rPr>
          <w:rFonts w:ascii="Times New Roman" w:hAnsi="Times New Roman" w:cs="Times New Roman"/>
        </w:rPr>
        <w:t>(</w:t>
      </w:r>
      <w:r w:rsidR="00513631">
        <w:rPr>
          <w:rFonts w:ascii="Times New Roman" w:hAnsi="Times New Roman" w:cs="Times New Roman"/>
        </w:rPr>
        <w:t>F</w:t>
      </w:r>
      <w:r w:rsidR="006C14C7">
        <w:rPr>
          <w:rFonts w:ascii="Times New Roman" w:hAnsi="Times New Roman" w:cs="Times New Roman"/>
        </w:rPr>
        <w:t>)</w:t>
      </w:r>
      <w:r w:rsidR="00513631">
        <w:rPr>
          <w:rFonts w:ascii="Times New Roman" w:hAnsi="Times New Roman" w:cs="Times New Roman"/>
        </w:rPr>
        <w:t xml:space="preserve"> </w:t>
      </w:r>
      <w:r w:rsidR="0089691D">
        <w:rPr>
          <w:rFonts w:ascii="Times New Roman" w:hAnsi="Times New Roman" w:cs="Times New Roman"/>
        </w:rPr>
        <w:t>–</w:t>
      </w:r>
      <w:r w:rsidR="00513631">
        <w:rPr>
          <w:rFonts w:ascii="Times New Roman" w:hAnsi="Times New Roman" w:cs="Times New Roman"/>
        </w:rPr>
        <w:t xml:space="preserve"> </w:t>
      </w:r>
      <w:r w:rsidR="00A25539">
        <w:rPr>
          <w:rFonts w:ascii="Times New Roman" w:hAnsi="Times New Roman" w:cs="Times New Roman"/>
        </w:rPr>
        <w:t>(OD</w:t>
      </w:r>
      <w:r w:rsidR="00A25539" w:rsidRPr="00A25539">
        <w:rPr>
          <w:rFonts w:ascii="Times New Roman" w:hAnsi="Times New Roman" w:cs="Times New Roman"/>
        </w:rPr>
        <w:t>+</w:t>
      </w:r>
      <w:r w:rsidR="00A25539">
        <w:rPr>
          <w:rFonts w:ascii="Times New Roman" w:hAnsi="Times New Roman" w:cs="Times New Roman"/>
        </w:rPr>
        <w:t xml:space="preserve">/OD-) for various serum samples dilutions, calculated as the ratios of OD readings for the PCR+ sample and the pre-COVID sample </w:t>
      </w:r>
      <w:r w:rsidR="009E100C">
        <w:rPr>
          <w:rFonts w:ascii="Times New Roman" w:hAnsi="Times New Roman" w:cs="Times New Roman"/>
        </w:rPr>
        <w:t>for</w:t>
      </w:r>
      <w:r w:rsidR="00A25539">
        <w:rPr>
          <w:rFonts w:ascii="Times New Roman" w:hAnsi="Times New Roman" w:cs="Times New Roman"/>
        </w:rPr>
        <w:t xml:space="preserve"> the same sample dilutions</w:t>
      </w:r>
      <w:r w:rsidR="00F05D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9691D">
        <w:rPr>
          <w:rFonts w:ascii="Times New Roman" w:hAnsi="Times New Roman" w:cs="Times New Roman"/>
        </w:rPr>
        <w:t>Blue lines</w:t>
      </w:r>
      <w:r w:rsidRPr="00623358">
        <w:rPr>
          <w:rFonts w:ascii="Times New Roman" w:hAnsi="Times New Roman" w:cs="Times New Roman"/>
        </w:rPr>
        <w:t xml:space="preserve"> - pooled PCR+ sera. </w:t>
      </w:r>
      <w:r w:rsidR="0089691D">
        <w:rPr>
          <w:rFonts w:ascii="Times New Roman" w:hAnsi="Times New Roman" w:cs="Times New Roman"/>
        </w:rPr>
        <w:t>Red lines</w:t>
      </w:r>
      <w:r w:rsidRPr="00623358">
        <w:rPr>
          <w:rFonts w:ascii="Times New Roman" w:hAnsi="Times New Roman" w:cs="Times New Roman"/>
        </w:rPr>
        <w:t xml:space="preserve"> - pooled pre-COVID sera.</w:t>
      </w:r>
      <w:r w:rsidRPr="002C2B25">
        <w:rPr>
          <w:rFonts w:ascii="Times New Roman" w:hAnsi="Times New Roman" w:cs="Times New Roman"/>
        </w:rPr>
        <w:t xml:space="preserve"> </w:t>
      </w:r>
      <w:r w:rsidRPr="00141B7F">
        <w:rPr>
          <w:rFonts w:ascii="Times New Roman" w:hAnsi="Times New Roman" w:cs="Times New Roman"/>
        </w:rPr>
        <w:t xml:space="preserve">Statistical analysis by the </w:t>
      </w:r>
      <w:r w:rsidR="00C2255D">
        <w:rPr>
          <w:rFonts w:ascii="Times New Roman" w:hAnsi="Times New Roman" w:cs="Times New Roman"/>
        </w:rPr>
        <w:t xml:space="preserve">or one-way ANOVA with the </w:t>
      </w:r>
      <w:r w:rsidR="00C2255D" w:rsidRPr="005A1EF3">
        <w:rPr>
          <w:rFonts w:ascii="Times New Roman" w:hAnsi="Times New Roman" w:cs="Times New Roman"/>
        </w:rPr>
        <w:t>post-hoc Tukey-Kramer HSD test</w:t>
      </w:r>
      <w:r w:rsidRPr="00141B7F">
        <w:rPr>
          <w:rFonts w:ascii="Times New Roman" w:hAnsi="Times New Roman" w:cs="Times New Roman"/>
        </w:rPr>
        <w:t>, n=</w:t>
      </w:r>
      <w:r w:rsidR="0089691D">
        <w:rPr>
          <w:rFonts w:ascii="Times New Roman" w:hAnsi="Times New Roman" w:cs="Times New Roman"/>
        </w:rPr>
        <w:t>2</w:t>
      </w:r>
      <w:r w:rsidRPr="00141B7F">
        <w:rPr>
          <w:rFonts w:ascii="Times New Roman" w:hAnsi="Times New Roman" w:cs="Times New Roman"/>
        </w:rPr>
        <w:t>, * - p &lt; 0.05; ** - p &lt; 0.01; *** - p &lt; 0.001</w:t>
      </w:r>
      <w:r w:rsidR="0089691D">
        <w:rPr>
          <w:rFonts w:ascii="Times New Roman" w:hAnsi="Times New Roman" w:cs="Times New Roman"/>
        </w:rPr>
        <w:t>, ns – non-significant</w:t>
      </w:r>
      <w:r w:rsidRPr="00141B7F">
        <w:rPr>
          <w:rFonts w:ascii="Times New Roman" w:hAnsi="Times New Roman" w:cs="Times New Roman"/>
        </w:rPr>
        <w:t>.</w:t>
      </w:r>
      <w:r w:rsidR="0089691D">
        <w:rPr>
          <w:rFonts w:ascii="Times New Roman" w:hAnsi="Times New Roman" w:cs="Times New Roman"/>
        </w:rPr>
        <w:t xml:space="preserve"> </w:t>
      </w:r>
      <w:r w:rsidR="00C2255D">
        <w:rPr>
          <w:rFonts w:ascii="Times New Roman" w:hAnsi="Times New Roman" w:cs="Times New Roman"/>
        </w:rPr>
        <w:t xml:space="preserve">P-values are presented for </w:t>
      </w:r>
      <w:r w:rsidR="0089691D">
        <w:rPr>
          <w:rFonts w:ascii="Times New Roman" w:hAnsi="Times New Roman" w:cs="Times New Roman"/>
        </w:rPr>
        <w:t>the pure NP antigen versus three other antigen preparations as “NP vs. NP+-; NP vs. NP-+; NP vs. NP-RNA”.</w:t>
      </w:r>
    </w:p>
    <w:p w14:paraId="76923402" w14:textId="77777777" w:rsidR="0089691D" w:rsidRDefault="00896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DE3101" w14:textId="28730AF2" w:rsidR="00F05D5C" w:rsidRDefault="00A25539" w:rsidP="00866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D0DAD22" wp14:editId="4633FE91">
            <wp:extent cx="5567993" cy="6657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76" cy="66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A9FF" w14:textId="24098376" w:rsidR="00A25539" w:rsidRDefault="0089691D">
      <w:pPr>
        <w:rPr>
          <w:rFonts w:ascii="Times New Roman" w:hAnsi="Times New Roman" w:cs="Times New Roman"/>
        </w:rPr>
      </w:pPr>
      <w:r w:rsidRPr="005544F0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1</w:t>
      </w:r>
      <w:r w:rsidR="00D13361">
        <w:rPr>
          <w:rFonts w:ascii="Times New Roman" w:hAnsi="Times New Roman" w:cs="Times New Roman"/>
          <w:b/>
          <w:bCs/>
        </w:rPr>
        <w:t>2</w:t>
      </w:r>
      <w:r w:rsidRPr="005544F0">
        <w:rPr>
          <w:rFonts w:ascii="Times New Roman" w:hAnsi="Times New Roman" w:cs="Times New Roman"/>
          <w:b/>
          <w:bCs/>
        </w:rPr>
        <w:t>. Antibody capture ELISA</w:t>
      </w:r>
      <w:r>
        <w:rPr>
          <w:rFonts w:ascii="Times New Roman" w:hAnsi="Times New Roman" w:cs="Times New Roman"/>
          <w:b/>
          <w:bCs/>
        </w:rPr>
        <w:t xml:space="preserve"> and dynamics of the assay specificity ratios</w:t>
      </w:r>
      <w:r w:rsidRPr="005544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for various purification methods, NTD </w:t>
      </w:r>
      <w:r w:rsidRPr="005544F0">
        <w:rPr>
          <w:rFonts w:ascii="Times New Roman" w:hAnsi="Times New Roman" w:cs="Times New Roman"/>
          <w:b/>
          <w:bCs/>
        </w:rPr>
        <w:t>antigen</w:t>
      </w:r>
      <w:r>
        <w:rPr>
          <w:rFonts w:ascii="Times New Roman" w:hAnsi="Times New Roman" w:cs="Times New Roman"/>
        </w:rPr>
        <w:t xml:space="preserve">. </w:t>
      </w:r>
      <w:r w:rsidR="006C14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="006C1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pure NTD antigen, protein preparation and the ELISA test was independent from the test shown on Figure 3. </w:t>
      </w:r>
      <w:r w:rsidR="006C14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</w:t>
      </w:r>
      <w:r w:rsidR="006C1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NTD protein antigen, treated by the RNase A and not treated by the on-column 2 M NaCl wash. </w:t>
      </w:r>
      <w:r w:rsidR="006C14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</w:t>
      </w:r>
      <w:r w:rsidR="006C1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NTD protein antigen, not treated by the RNase A and treated by the on-column 2 M NaCl wash. </w:t>
      </w:r>
      <w:r w:rsidR="006C14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="006C1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NTD-RNA antigen. </w:t>
      </w:r>
      <w:r w:rsidR="006C14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</w:t>
      </w:r>
      <w:r w:rsidR="006C14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 w:rsidR="00F05D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est specificity ratios (OD</w:t>
      </w:r>
      <w:r w:rsidR="00A25539" w:rsidRPr="00A25539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/</w:t>
      </w:r>
      <w:r w:rsidR="00A25539">
        <w:rPr>
          <w:rFonts w:ascii="Times New Roman" w:hAnsi="Times New Roman" w:cs="Times New Roman"/>
        </w:rPr>
        <w:t>OD-</w:t>
      </w:r>
      <w:r>
        <w:rPr>
          <w:rFonts w:ascii="Times New Roman" w:hAnsi="Times New Roman" w:cs="Times New Roman"/>
        </w:rPr>
        <w:t>) for various serum samples dilutions</w:t>
      </w:r>
      <w:r w:rsidR="00A25539">
        <w:rPr>
          <w:rFonts w:ascii="Times New Roman" w:hAnsi="Times New Roman" w:cs="Times New Roman"/>
        </w:rPr>
        <w:t>, calculated as the ratios of OD readings for the PCR+ sample and the pre-COVID sample at the same sample dilutions</w:t>
      </w:r>
      <w:r w:rsidR="00F05D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Blue lines</w:t>
      </w:r>
      <w:r w:rsidRPr="00623358">
        <w:rPr>
          <w:rFonts w:ascii="Times New Roman" w:hAnsi="Times New Roman" w:cs="Times New Roman"/>
        </w:rPr>
        <w:t xml:space="preserve"> - pooled PCR+ sera. </w:t>
      </w:r>
      <w:r>
        <w:rPr>
          <w:rFonts w:ascii="Times New Roman" w:hAnsi="Times New Roman" w:cs="Times New Roman"/>
        </w:rPr>
        <w:t>Red lines</w:t>
      </w:r>
      <w:r w:rsidRPr="00623358">
        <w:rPr>
          <w:rFonts w:ascii="Times New Roman" w:hAnsi="Times New Roman" w:cs="Times New Roman"/>
        </w:rPr>
        <w:t xml:space="preserve"> - pooled pre-COVID sera.</w:t>
      </w:r>
      <w:r w:rsidRPr="002C2B25">
        <w:rPr>
          <w:rFonts w:ascii="Times New Roman" w:hAnsi="Times New Roman" w:cs="Times New Roman"/>
        </w:rPr>
        <w:t xml:space="preserve"> </w:t>
      </w:r>
      <w:r w:rsidR="00C2255D" w:rsidRPr="00141B7F">
        <w:rPr>
          <w:rFonts w:ascii="Times New Roman" w:hAnsi="Times New Roman" w:cs="Times New Roman"/>
        </w:rPr>
        <w:t xml:space="preserve">Statistical analysis by the </w:t>
      </w:r>
      <w:r w:rsidR="00C2255D">
        <w:rPr>
          <w:rFonts w:ascii="Times New Roman" w:hAnsi="Times New Roman" w:cs="Times New Roman"/>
        </w:rPr>
        <w:t xml:space="preserve">or one-way ANOVA with the </w:t>
      </w:r>
      <w:r w:rsidR="00C2255D" w:rsidRPr="005A1EF3">
        <w:rPr>
          <w:rFonts w:ascii="Times New Roman" w:hAnsi="Times New Roman" w:cs="Times New Roman"/>
        </w:rPr>
        <w:t>post-hoc Tukey-</w:t>
      </w:r>
      <w:r w:rsidR="00C2255D" w:rsidRPr="005A1EF3">
        <w:rPr>
          <w:rFonts w:ascii="Times New Roman" w:hAnsi="Times New Roman" w:cs="Times New Roman"/>
        </w:rPr>
        <w:lastRenderedPageBreak/>
        <w:t>Kramer HSD test</w:t>
      </w:r>
      <w:r w:rsidR="00C2255D" w:rsidRPr="00141B7F">
        <w:rPr>
          <w:rFonts w:ascii="Times New Roman" w:hAnsi="Times New Roman" w:cs="Times New Roman"/>
        </w:rPr>
        <w:t>, n=</w:t>
      </w:r>
      <w:r w:rsidR="00C2255D">
        <w:rPr>
          <w:rFonts w:ascii="Times New Roman" w:hAnsi="Times New Roman" w:cs="Times New Roman"/>
        </w:rPr>
        <w:t>2</w:t>
      </w:r>
      <w:r w:rsidR="00C2255D" w:rsidRPr="00141B7F">
        <w:rPr>
          <w:rFonts w:ascii="Times New Roman" w:hAnsi="Times New Roman" w:cs="Times New Roman"/>
        </w:rPr>
        <w:t>, * - p &lt; 0.05; ** - p &lt; 0.01; *** - p &lt; 0.001</w:t>
      </w:r>
      <w:r w:rsidR="00C2255D">
        <w:rPr>
          <w:rFonts w:ascii="Times New Roman" w:hAnsi="Times New Roman" w:cs="Times New Roman"/>
        </w:rPr>
        <w:t>, ns – non-significant</w:t>
      </w:r>
      <w:r w:rsidR="00C2255D" w:rsidRPr="00141B7F">
        <w:rPr>
          <w:rFonts w:ascii="Times New Roman" w:hAnsi="Times New Roman" w:cs="Times New Roman"/>
        </w:rPr>
        <w:t>.</w:t>
      </w:r>
      <w:r w:rsidR="00C2255D">
        <w:rPr>
          <w:rFonts w:ascii="Times New Roman" w:hAnsi="Times New Roman" w:cs="Times New Roman"/>
        </w:rPr>
        <w:t xml:space="preserve"> P-values are presented for the pure NP antigen versus three other antigen preparations as</w:t>
      </w:r>
      <w:r w:rsidR="00AC0EFA">
        <w:rPr>
          <w:rFonts w:ascii="Times New Roman" w:hAnsi="Times New Roman" w:cs="Times New Roman"/>
        </w:rPr>
        <w:t xml:space="preserve"> “NTD vs. NTD+-; NTD vs. NTD-+; NTD vs. NTD-RNA”.</w:t>
      </w:r>
      <w:r w:rsidR="00A25539">
        <w:rPr>
          <w:rFonts w:ascii="Times New Roman" w:hAnsi="Times New Roman" w:cs="Times New Roman"/>
        </w:rPr>
        <w:br w:type="page"/>
      </w:r>
    </w:p>
    <w:p w14:paraId="76229ADD" w14:textId="77777777" w:rsidR="00A25539" w:rsidRPr="00A25539" w:rsidRDefault="00A25539" w:rsidP="00A25539">
      <w:pPr>
        <w:rPr>
          <w:rFonts w:ascii="Times New Roman" w:hAnsi="Times New Roman" w:cs="Times New Roman"/>
        </w:rPr>
      </w:pPr>
    </w:p>
    <w:p w14:paraId="289BFA9C" w14:textId="77777777" w:rsidR="00A25539" w:rsidRPr="006C14C7" w:rsidRDefault="00A25539" w:rsidP="00A25539">
      <w:pPr>
        <w:rPr>
          <w:rFonts w:ascii="Times New Roman" w:hAnsi="Times New Roman" w:cs="Times New Roman"/>
          <w:b/>
          <w:bCs/>
        </w:rPr>
      </w:pPr>
      <w:r w:rsidRPr="006C14C7">
        <w:rPr>
          <w:rFonts w:ascii="Times New Roman" w:hAnsi="Times New Roman" w:cs="Times New Roman"/>
          <w:b/>
          <w:bCs/>
        </w:rPr>
        <w:t>Supporting Table 1. Description of control tests, used for correlation analysis.</w:t>
      </w:r>
    </w:p>
    <w:p w14:paraId="02EA02ED" w14:textId="77777777" w:rsidR="00A25539" w:rsidRPr="00A25539" w:rsidRDefault="00A25539" w:rsidP="00A2553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178"/>
        <w:gridCol w:w="736"/>
        <w:gridCol w:w="1170"/>
        <w:gridCol w:w="5571"/>
        <w:gridCol w:w="582"/>
      </w:tblGrid>
      <w:tr w:rsidR="00FB51A4" w:rsidRPr="00FB51A4" w14:paraId="2BFE0248" w14:textId="77777777" w:rsidTr="00FB51A4">
        <w:tc>
          <w:tcPr>
            <w:tcW w:w="1178" w:type="dxa"/>
          </w:tcPr>
          <w:p w14:paraId="00CB85A5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36" w:type="dxa"/>
          </w:tcPr>
          <w:p w14:paraId="1AD2C1DE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Antigen</w:t>
            </w:r>
          </w:p>
        </w:tc>
        <w:tc>
          <w:tcPr>
            <w:tcW w:w="1170" w:type="dxa"/>
          </w:tcPr>
          <w:p w14:paraId="22641A99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Quantification method *</w:t>
            </w:r>
          </w:p>
        </w:tc>
        <w:tc>
          <w:tcPr>
            <w:tcW w:w="5162" w:type="dxa"/>
          </w:tcPr>
          <w:p w14:paraId="755D205B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 description</w:t>
            </w:r>
          </w:p>
        </w:tc>
        <w:tc>
          <w:tcPr>
            <w:tcW w:w="991" w:type="dxa"/>
          </w:tcPr>
          <w:p w14:paraId="10AF312B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 in Fig. 4</w:t>
            </w:r>
          </w:p>
        </w:tc>
      </w:tr>
      <w:tr w:rsidR="00FB51A4" w:rsidRPr="00FB51A4" w14:paraId="58D31E33" w14:textId="77777777" w:rsidTr="00FB51A4">
        <w:tc>
          <w:tcPr>
            <w:tcW w:w="1178" w:type="dxa"/>
          </w:tcPr>
          <w:p w14:paraId="4AAA5ED2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EUROIMMUN Anti-SARS-CoV2 ELISA IgG assay</w:t>
            </w:r>
          </w:p>
        </w:tc>
        <w:tc>
          <w:tcPr>
            <w:tcW w:w="736" w:type="dxa"/>
          </w:tcPr>
          <w:p w14:paraId="05046FE4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  <w:tc>
          <w:tcPr>
            <w:tcW w:w="1170" w:type="dxa"/>
          </w:tcPr>
          <w:p w14:paraId="164529E4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OD/CO</w:t>
            </w:r>
          </w:p>
        </w:tc>
        <w:tc>
          <w:tcPr>
            <w:tcW w:w="5162" w:type="dxa"/>
          </w:tcPr>
          <w:p w14:paraId="7664BBCF" w14:textId="77777777" w:rsidR="00FB51A4" w:rsidRPr="00FB51A4" w:rsidRDefault="00F217BA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FB51A4" w:rsidRPr="00FB51A4">
                <w:rPr>
                  <w:rFonts w:ascii="Times New Roman" w:eastAsia="Times New Roman" w:hAnsi="Times New Roman" w:cs="Times New Roman"/>
                  <w:color w:val="000000"/>
                </w:rPr>
                <w:t>https://www.fda.gov/media/137609/download</w:t>
              </w:r>
            </w:hyperlink>
          </w:p>
        </w:tc>
        <w:tc>
          <w:tcPr>
            <w:tcW w:w="991" w:type="dxa"/>
          </w:tcPr>
          <w:p w14:paraId="1185E5F2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</w:tr>
      <w:tr w:rsidR="00FB51A4" w:rsidRPr="00FB51A4" w14:paraId="32312502" w14:textId="77777777" w:rsidTr="00FB51A4">
        <w:tc>
          <w:tcPr>
            <w:tcW w:w="1178" w:type="dxa"/>
          </w:tcPr>
          <w:p w14:paraId="363A6797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Siemens SARS-CoV-2 IgG assay</w:t>
            </w:r>
          </w:p>
        </w:tc>
        <w:tc>
          <w:tcPr>
            <w:tcW w:w="736" w:type="dxa"/>
          </w:tcPr>
          <w:p w14:paraId="79A4D642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RBD</w:t>
            </w:r>
          </w:p>
        </w:tc>
        <w:tc>
          <w:tcPr>
            <w:tcW w:w="1170" w:type="dxa"/>
          </w:tcPr>
          <w:p w14:paraId="43BC89FA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S/CO</w:t>
            </w:r>
          </w:p>
        </w:tc>
        <w:tc>
          <w:tcPr>
            <w:tcW w:w="5162" w:type="dxa"/>
          </w:tcPr>
          <w:p w14:paraId="33061A28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https://www.siemens-healthineers.com/en-us/laboratory-diagnostics/assays-by-diseases-conditions/infectious-disease-assays/sars-cov-2-igg-assay</w:t>
            </w:r>
          </w:p>
        </w:tc>
        <w:tc>
          <w:tcPr>
            <w:tcW w:w="991" w:type="dxa"/>
          </w:tcPr>
          <w:p w14:paraId="0C263E4F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RBD</w:t>
            </w:r>
          </w:p>
        </w:tc>
      </w:tr>
      <w:tr w:rsidR="00FB51A4" w:rsidRPr="00FB51A4" w14:paraId="5BABD794" w14:textId="77777777" w:rsidTr="00FB51A4">
        <w:tc>
          <w:tcPr>
            <w:tcW w:w="1178" w:type="dxa"/>
          </w:tcPr>
          <w:p w14:paraId="22657C12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DiaPro COVID-19 IgG assay</w:t>
            </w:r>
          </w:p>
        </w:tc>
        <w:tc>
          <w:tcPr>
            <w:tcW w:w="736" w:type="dxa"/>
          </w:tcPr>
          <w:p w14:paraId="2A5576D0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S1/S2</w:t>
            </w:r>
          </w:p>
        </w:tc>
        <w:tc>
          <w:tcPr>
            <w:tcW w:w="1170" w:type="dxa"/>
          </w:tcPr>
          <w:p w14:paraId="2BBBCCDA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S/CO</w:t>
            </w:r>
          </w:p>
        </w:tc>
        <w:tc>
          <w:tcPr>
            <w:tcW w:w="5162" w:type="dxa"/>
          </w:tcPr>
          <w:p w14:paraId="5EAE7F04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https://www.launchdiagnostics.com/product-list/dia-pro-covid-19-spike-1-and-2-igg-elisa/</w:t>
            </w:r>
          </w:p>
        </w:tc>
        <w:tc>
          <w:tcPr>
            <w:tcW w:w="991" w:type="dxa"/>
          </w:tcPr>
          <w:p w14:paraId="674BA2A7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S1/S2</w:t>
            </w:r>
          </w:p>
        </w:tc>
      </w:tr>
      <w:tr w:rsidR="00FB51A4" w:rsidRPr="00FB51A4" w14:paraId="301F1ADF" w14:textId="77777777" w:rsidTr="00FB51A4">
        <w:tc>
          <w:tcPr>
            <w:tcW w:w="1178" w:type="dxa"/>
          </w:tcPr>
          <w:p w14:paraId="6A7A2CB8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EUROIMMUN Anti- SARS-CoV-2 NCP ELISA</w:t>
            </w:r>
          </w:p>
        </w:tc>
        <w:tc>
          <w:tcPr>
            <w:tcW w:w="736" w:type="dxa"/>
          </w:tcPr>
          <w:p w14:paraId="6C127485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  <w:tc>
          <w:tcPr>
            <w:tcW w:w="1170" w:type="dxa"/>
          </w:tcPr>
          <w:p w14:paraId="1B0CFED1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OD/CO</w:t>
            </w:r>
          </w:p>
        </w:tc>
        <w:tc>
          <w:tcPr>
            <w:tcW w:w="5162" w:type="dxa"/>
          </w:tcPr>
          <w:p w14:paraId="5C984C00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https://www.coronavirus-diagnostics.com/documents/Indications/Infections/Coronavirus/EI_2606_D_UK_C.pdf</w:t>
            </w:r>
          </w:p>
        </w:tc>
        <w:tc>
          <w:tcPr>
            <w:tcW w:w="991" w:type="dxa"/>
          </w:tcPr>
          <w:p w14:paraId="59A87F0E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NP #1</w:t>
            </w:r>
          </w:p>
        </w:tc>
      </w:tr>
      <w:tr w:rsidR="00FB51A4" w:rsidRPr="00FB51A4" w14:paraId="78B41A5D" w14:textId="77777777" w:rsidTr="00FB51A4">
        <w:tc>
          <w:tcPr>
            <w:tcW w:w="1178" w:type="dxa"/>
          </w:tcPr>
          <w:p w14:paraId="3456AE3C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PHE Colindale Anti- SARS-CoV-2 ELISA in-house</w:t>
            </w:r>
          </w:p>
        </w:tc>
        <w:tc>
          <w:tcPr>
            <w:tcW w:w="736" w:type="dxa"/>
          </w:tcPr>
          <w:p w14:paraId="7C6709BC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  <w:tc>
          <w:tcPr>
            <w:tcW w:w="1170" w:type="dxa"/>
          </w:tcPr>
          <w:p w14:paraId="17ED7E9D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S/CO</w:t>
            </w:r>
          </w:p>
        </w:tc>
        <w:tc>
          <w:tcPr>
            <w:tcW w:w="5162" w:type="dxa"/>
          </w:tcPr>
          <w:p w14:paraId="0D1F16B1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  <w:tc>
          <w:tcPr>
            <w:tcW w:w="991" w:type="dxa"/>
          </w:tcPr>
          <w:p w14:paraId="7CB64CFA" w14:textId="77777777" w:rsidR="00FB51A4" w:rsidRPr="00FB51A4" w:rsidRDefault="00FB51A4" w:rsidP="00213A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51A4">
              <w:rPr>
                <w:rFonts w:ascii="Times New Roman" w:eastAsia="Times New Roman" w:hAnsi="Times New Roman" w:cs="Times New Roman"/>
                <w:color w:val="000000"/>
              </w:rPr>
              <w:t>NP #2</w:t>
            </w:r>
          </w:p>
        </w:tc>
      </w:tr>
    </w:tbl>
    <w:p w14:paraId="70B4FAB1" w14:textId="77777777" w:rsidR="00A25539" w:rsidRPr="00A25539" w:rsidRDefault="00A25539" w:rsidP="00A25539">
      <w:pPr>
        <w:rPr>
          <w:rFonts w:ascii="Times New Roman" w:hAnsi="Times New Roman" w:cs="Times New Roman"/>
        </w:rPr>
      </w:pPr>
      <w:r w:rsidRPr="00A25539">
        <w:rPr>
          <w:rFonts w:ascii="Times New Roman" w:hAnsi="Times New Roman" w:cs="Times New Roman"/>
        </w:rPr>
        <w:t>* S/CO – signal to cut-off ratio; OD/CO – sample optical density to cut-off optical density ratio quantification methods.</w:t>
      </w:r>
    </w:p>
    <w:p w14:paraId="7017BBB5" w14:textId="77777777" w:rsidR="00866D0D" w:rsidRPr="00A25539" w:rsidRDefault="00866D0D" w:rsidP="00866D0D">
      <w:pPr>
        <w:rPr>
          <w:rFonts w:ascii="Times New Roman" w:hAnsi="Times New Roman" w:cs="Times New Roman"/>
          <w:b/>
          <w:bCs/>
        </w:rPr>
      </w:pPr>
    </w:p>
    <w:sectPr w:rsidR="00866D0D" w:rsidRPr="00A25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NLewNLE0tzAwsrRQ0lEKTi0uzszPAykwNK4FAAZfHKstAAAA"/>
  </w:docVars>
  <w:rsids>
    <w:rsidRoot w:val="00CA7E4E"/>
    <w:rsid w:val="00061A0E"/>
    <w:rsid w:val="000A081A"/>
    <w:rsid w:val="000B41BB"/>
    <w:rsid w:val="001A29E4"/>
    <w:rsid w:val="001A7324"/>
    <w:rsid w:val="001D077E"/>
    <w:rsid w:val="00212C3E"/>
    <w:rsid w:val="002E6B95"/>
    <w:rsid w:val="003666E5"/>
    <w:rsid w:val="003B09B5"/>
    <w:rsid w:val="004A085C"/>
    <w:rsid w:val="004B0B6E"/>
    <w:rsid w:val="00513631"/>
    <w:rsid w:val="005544F0"/>
    <w:rsid w:val="00563ADE"/>
    <w:rsid w:val="00576EEB"/>
    <w:rsid w:val="00643D41"/>
    <w:rsid w:val="006C14C7"/>
    <w:rsid w:val="0073052E"/>
    <w:rsid w:val="007834F9"/>
    <w:rsid w:val="00792B44"/>
    <w:rsid w:val="007B684B"/>
    <w:rsid w:val="00810E6B"/>
    <w:rsid w:val="00866D0D"/>
    <w:rsid w:val="008756DC"/>
    <w:rsid w:val="00890687"/>
    <w:rsid w:val="0089691D"/>
    <w:rsid w:val="009E100C"/>
    <w:rsid w:val="009E240B"/>
    <w:rsid w:val="009F7559"/>
    <w:rsid w:val="00A25539"/>
    <w:rsid w:val="00AB56AA"/>
    <w:rsid w:val="00AC0EFA"/>
    <w:rsid w:val="00B4714F"/>
    <w:rsid w:val="00C2255D"/>
    <w:rsid w:val="00C95E74"/>
    <w:rsid w:val="00CA7E4E"/>
    <w:rsid w:val="00D13361"/>
    <w:rsid w:val="00D249D8"/>
    <w:rsid w:val="00D3444B"/>
    <w:rsid w:val="00D83CE1"/>
    <w:rsid w:val="00E219E0"/>
    <w:rsid w:val="00E8160F"/>
    <w:rsid w:val="00F05D5C"/>
    <w:rsid w:val="00F14D49"/>
    <w:rsid w:val="00F217BA"/>
    <w:rsid w:val="00F45710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BFCC"/>
  <w15:chartTrackingRefBased/>
  <w15:docId w15:val="{19E55454-F570-47E9-AD33-61E0513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8160F"/>
    <w:pPr>
      <w:spacing w:after="0" w:line="276" w:lineRule="auto"/>
      <w:contextualSpacing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A2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fda.gov/media/137609/download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15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Vorobiev</dc:creator>
  <cp:keywords/>
  <dc:description/>
  <cp:lastModifiedBy>Ivan Vorobiev</cp:lastModifiedBy>
  <cp:revision>15</cp:revision>
  <dcterms:created xsi:type="dcterms:W3CDTF">2021-11-17T09:36:00Z</dcterms:created>
  <dcterms:modified xsi:type="dcterms:W3CDTF">2021-11-29T13:16:00Z</dcterms:modified>
</cp:coreProperties>
</file>