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"/>
        <w:tblW w:w="0" w:type="dxa"/>
        <w:tblLook w:val="04A0"/>
      </w:tblPr>
      <w:tblGrid>
        <w:gridCol w:w="2070"/>
        <w:gridCol w:w="536"/>
        <w:gridCol w:w="1270"/>
        <w:gridCol w:w="1176"/>
        <w:gridCol w:w="876"/>
        <w:gridCol w:w="953"/>
      </w:tblGrid>
      <w:tr w:rsidR="009F7212" w:rsidRPr="009F7212" w:rsidTr="009F7212">
        <w:trPr>
          <w:cnfStyle w:val="100000000000"/>
          <w:trHeight w:val="168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Sum of Sq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Mean Sq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Brightness (B1)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63914666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21304889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26.527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(B1)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57023111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803142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Hue (H3)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4661.6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1553.86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41.616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(H3)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37.34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Chroma</w:t>
            </w:r>
            <w:proofErr w:type="spellEnd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(S8)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2.067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0.68899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10.873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(S8)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4.4992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0.06337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Red </w:t>
            </w:r>
            <w:proofErr w:type="spellStart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Chroma</w:t>
            </w:r>
            <w:proofErr w:type="spellEnd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(S1R)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0.079523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0.026508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13.374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(S1R)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0.140723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0.001982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</w:tbl>
    <w:p w:rsidR="004413D4" w:rsidRDefault="004413D4"/>
    <w:p w:rsidR="009F7212" w:rsidRDefault="009F7212">
      <w:pPr>
        <w:rPr>
          <w:rFonts w:ascii="Times New Roman" w:hAnsi="Times New Roman" w:cs="Times New Roman"/>
          <w:sz w:val="24"/>
          <w:szCs w:val="24"/>
        </w:rPr>
      </w:pPr>
      <w:r w:rsidRPr="0048602C">
        <w:rPr>
          <w:rFonts w:ascii="Times New Roman" w:hAnsi="Times New Roman" w:cs="Times New Roman"/>
          <w:b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ANOVA table of male ventral color variables, with subspecies as the grouping variable.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Statistically significant </w:t>
      </w:r>
      <w:r w:rsidRPr="009F72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values are shown in bold.</w:t>
      </w:r>
    </w:p>
    <w:p w:rsidR="009F7212" w:rsidRDefault="009F72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doclaro"/>
        <w:tblW w:w="0" w:type="dxa"/>
        <w:tblLook w:val="04A0"/>
      </w:tblPr>
      <w:tblGrid>
        <w:gridCol w:w="1743"/>
        <w:gridCol w:w="536"/>
        <w:gridCol w:w="1270"/>
        <w:gridCol w:w="1176"/>
        <w:gridCol w:w="876"/>
        <w:gridCol w:w="953"/>
      </w:tblGrid>
      <w:tr w:rsidR="009F7212" w:rsidRPr="009F7212" w:rsidTr="009F7212">
        <w:trPr>
          <w:cnfStyle w:val="1000000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Sum of Sq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Mean Sq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Brightness (B1)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34253559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11417853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7.7823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(B1)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67489384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1467161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Hue (H3)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192.68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64.228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3.3007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(H3)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895.1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19.459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Chroma</w:t>
            </w:r>
            <w:proofErr w:type="spellEnd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(S8)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0.11929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0.039763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1.5239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(S8)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1.2003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0.026094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</w:tbl>
    <w:p w:rsidR="009F7212" w:rsidRDefault="009F7212">
      <w:pPr>
        <w:rPr>
          <w:rFonts w:ascii="Times New Roman" w:hAnsi="Times New Roman" w:cs="Times New Roman"/>
          <w:sz w:val="24"/>
          <w:szCs w:val="24"/>
        </w:rPr>
      </w:pPr>
    </w:p>
    <w:p w:rsidR="009F7212" w:rsidRDefault="009F7212" w:rsidP="009F7212">
      <w:pPr>
        <w:rPr>
          <w:rFonts w:ascii="Times New Roman" w:hAnsi="Times New Roman" w:cs="Times New Roman"/>
          <w:sz w:val="24"/>
          <w:szCs w:val="24"/>
        </w:rPr>
      </w:pPr>
      <w:r w:rsidRPr="0048602C">
        <w:rPr>
          <w:rFonts w:ascii="Times New Roman" w:hAnsi="Times New Roman" w:cs="Times New Roman"/>
          <w:b/>
          <w:sz w:val="24"/>
          <w:szCs w:val="24"/>
        </w:rPr>
        <w:t>Table S2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ANOVA table of female ventral color variables, with subspecies as the grouping variable.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Statistically significant </w:t>
      </w:r>
      <w:r w:rsidRPr="009F72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values are shown in bold.</w:t>
      </w:r>
    </w:p>
    <w:p w:rsidR="009F7212" w:rsidRDefault="009F7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7212" w:rsidRDefault="009F7212" w:rsidP="009F7212">
      <w:pPr>
        <w:rPr>
          <w:rFonts w:ascii="Times New Roman" w:hAnsi="Times New Roman" w:cs="Times New Roman"/>
          <w:sz w:val="24"/>
          <w:szCs w:val="24"/>
        </w:rPr>
      </w:pPr>
    </w:p>
    <w:p w:rsidR="009F7212" w:rsidRDefault="009F7212" w:rsidP="009F72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doclaro"/>
        <w:tblW w:w="0" w:type="dxa"/>
        <w:tblLook w:val="04A0"/>
      </w:tblPr>
      <w:tblGrid>
        <w:gridCol w:w="3016"/>
        <w:gridCol w:w="576"/>
        <w:gridCol w:w="1270"/>
        <w:gridCol w:w="1130"/>
        <w:gridCol w:w="876"/>
        <w:gridCol w:w="953"/>
      </w:tblGrid>
      <w:tr w:rsidR="009F7212" w:rsidRPr="009F7212" w:rsidTr="009F7212">
        <w:trPr>
          <w:cnfStyle w:val="1000000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Sum of Sq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Mean Sq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Culmen</w:t>
            </w:r>
            <w:proofErr w:type="spellEnd"/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95.105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31.702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23.563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</w:t>
            </w:r>
            <w:proofErr w:type="spellStart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Culmen</w:t>
            </w:r>
            <w:proofErr w:type="spellEnd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1.345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Exposed </w:t>
            </w:r>
            <w:proofErr w:type="spellStart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Culmen</w:t>
            </w:r>
            <w:proofErr w:type="spellEnd"/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2.775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0.92514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1.1984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0.313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Residuals (Exposed </w:t>
            </w:r>
            <w:proofErr w:type="spellStart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Culmen</w:t>
            </w:r>
            <w:proofErr w:type="spellEnd"/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108.845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0.77195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Bill Width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10.135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3.3783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32.998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(Bill Width)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14.333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0.1024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Bill Depth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15.504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5.1681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22.019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(Bill Depth)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31.451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0.2347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Wing Chord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297.37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99.122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7.8247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(Wing Chord)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1874.83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12.668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212" w:rsidRPr="009F7212" w:rsidTr="009F7212">
        <w:trPr>
          <w:cnfStyle w:val="000000100000"/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Tarsus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58.827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19.6091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28.32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</w:tr>
      <w:tr w:rsidR="009F7212" w:rsidRPr="009F7212" w:rsidTr="009F7212">
        <w:trPr>
          <w:trHeight w:val="168"/>
        </w:trPr>
        <w:tc>
          <w:tcPr>
            <w:cnfStyle w:val="001000000000"/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Residuals (Tarsus)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101.787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spacing w:line="168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12">
              <w:rPr>
                <w:rFonts w:ascii="Times New Roman" w:eastAsia="Times New Roman" w:hAnsi="Times New Roman" w:cs="Times New Roman"/>
                <w:sz w:val="24"/>
                <w:szCs w:val="24"/>
              </w:rPr>
              <w:t>0.6924</w:t>
            </w: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7212" w:rsidRPr="009F7212" w:rsidRDefault="009F7212" w:rsidP="009F721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212" w:rsidRDefault="009F7212" w:rsidP="009F7212">
      <w:pPr>
        <w:rPr>
          <w:rFonts w:ascii="Times New Roman" w:hAnsi="Times New Roman" w:cs="Times New Roman"/>
          <w:sz w:val="24"/>
          <w:szCs w:val="24"/>
        </w:rPr>
      </w:pPr>
    </w:p>
    <w:p w:rsidR="009F7212" w:rsidRDefault="009F7212" w:rsidP="009F7212">
      <w:pPr>
        <w:rPr>
          <w:rFonts w:ascii="Times New Roman" w:hAnsi="Times New Roman" w:cs="Times New Roman"/>
          <w:sz w:val="24"/>
          <w:szCs w:val="24"/>
        </w:rPr>
      </w:pPr>
      <w:r w:rsidRPr="0048602C">
        <w:rPr>
          <w:rFonts w:ascii="Times New Roman" w:hAnsi="Times New Roman" w:cs="Times New Roman"/>
          <w:b/>
          <w:sz w:val="24"/>
          <w:szCs w:val="24"/>
        </w:rPr>
        <w:t>Table S3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ANOVA table of measured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morphometric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traits, with subspecies as the grouping variable.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Statistically significant </w:t>
      </w:r>
      <w:r w:rsidRPr="009F72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values are shown in bold. </w:t>
      </w:r>
      <w:proofErr w:type="spellStart"/>
      <w:r>
        <w:rPr>
          <w:rFonts w:ascii="Times New Roman" w:hAnsi="Times New Roman" w:cs="Times New Roman"/>
          <w:sz w:val="24"/>
          <w:szCs w:val="24"/>
        </w:rPr>
        <w:t>Culmen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measured from the posterior edge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beak tip, Exposed </w:t>
      </w:r>
      <w:proofErr w:type="spellStart"/>
      <w:r>
        <w:rPr>
          <w:rFonts w:ascii="Times New Roman" w:hAnsi="Times New Roman" w:cs="Times New Roman"/>
          <w:sz w:val="24"/>
          <w:szCs w:val="24"/>
        </w:rPr>
        <w:t>Culmen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measured from </w:t>
      </w:r>
      <w:r w:rsidR="00116E6E">
        <w:rPr>
          <w:rFonts w:ascii="Times New Roman" w:hAnsi="Times New Roman" w:cs="Times New Roman"/>
          <w:sz w:val="24"/>
          <w:szCs w:val="24"/>
        </w:rPr>
        <w:t xml:space="preserve">the edge of the last feathers to the beak tip, Bill Width was measured as the horizontal dimension of the beak at the </w:t>
      </w:r>
      <w:proofErr w:type="spellStart"/>
      <w:r w:rsidR="00116E6E">
        <w:rPr>
          <w:rFonts w:ascii="Times New Roman" w:hAnsi="Times New Roman" w:cs="Times New Roman"/>
          <w:sz w:val="24"/>
          <w:szCs w:val="24"/>
        </w:rPr>
        <w:t>nares</w:t>
      </w:r>
      <w:proofErr w:type="spellEnd"/>
      <w:r w:rsidR="00116E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6E6E">
        <w:rPr>
          <w:rFonts w:ascii="Times New Roman" w:hAnsi="Times New Roman" w:cs="Times New Roman"/>
          <w:sz w:val="24"/>
          <w:szCs w:val="24"/>
        </w:rPr>
        <w:t>Bill</w:t>
      </w:r>
      <w:proofErr w:type="gramEnd"/>
      <w:r w:rsidR="00116E6E">
        <w:rPr>
          <w:rFonts w:ascii="Times New Roman" w:hAnsi="Times New Roman" w:cs="Times New Roman"/>
          <w:sz w:val="24"/>
          <w:szCs w:val="24"/>
        </w:rPr>
        <w:t xml:space="preserve"> Depth was measured as the vertical dimension of the beak at the </w:t>
      </w:r>
      <w:proofErr w:type="spellStart"/>
      <w:r w:rsidR="00116E6E">
        <w:rPr>
          <w:rFonts w:ascii="Times New Roman" w:hAnsi="Times New Roman" w:cs="Times New Roman"/>
          <w:sz w:val="24"/>
          <w:szCs w:val="24"/>
        </w:rPr>
        <w:t>nares</w:t>
      </w:r>
      <w:proofErr w:type="spellEnd"/>
      <w:r w:rsidR="00116E6E">
        <w:rPr>
          <w:rFonts w:ascii="Times New Roman" w:hAnsi="Times New Roman" w:cs="Times New Roman"/>
          <w:sz w:val="24"/>
          <w:szCs w:val="24"/>
        </w:rPr>
        <w:t xml:space="preserve">. Wing Chord was measured from the ‘wrist’ joint </w:t>
      </w:r>
      <w:r w:rsidR="00AC2AF3">
        <w:rPr>
          <w:rFonts w:ascii="Times New Roman" w:hAnsi="Times New Roman" w:cs="Times New Roman"/>
          <w:sz w:val="24"/>
          <w:szCs w:val="24"/>
        </w:rPr>
        <w:t xml:space="preserve">to the tip of the longest primary feather, and Tarsus was measured from the notch of the </w:t>
      </w:r>
      <w:proofErr w:type="spellStart"/>
      <w:r w:rsidR="00AC2AF3">
        <w:rPr>
          <w:rFonts w:ascii="Times New Roman" w:hAnsi="Times New Roman" w:cs="Times New Roman"/>
          <w:sz w:val="24"/>
          <w:szCs w:val="24"/>
        </w:rPr>
        <w:t>tibio</w:t>
      </w:r>
      <w:proofErr w:type="spellEnd"/>
      <w:r w:rsidR="00AC2AF3">
        <w:rPr>
          <w:rFonts w:ascii="Times New Roman" w:hAnsi="Times New Roman" w:cs="Times New Roman"/>
          <w:sz w:val="24"/>
          <w:szCs w:val="24"/>
        </w:rPr>
        <w:t>-tarsal joint to the last undivided tarsal scale.</w:t>
      </w:r>
    </w:p>
    <w:p w:rsidR="0048602C" w:rsidRDefault="0048602C" w:rsidP="009F72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doclaro"/>
        <w:tblW w:w="0" w:type="dxa"/>
        <w:tblLook w:val="04A0"/>
      </w:tblPr>
      <w:tblGrid>
        <w:gridCol w:w="1859"/>
        <w:gridCol w:w="1153"/>
        <w:gridCol w:w="1610"/>
        <w:gridCol w:w="1213"/>
        <w:gridCol w:w="1189"/>
        <w:gridCol w:w="1137"/>
        <w:gridCol w:w="1415"/>
      </w:tblGrid>
      <w:tr w:rsidR="0048602C" w:rsidRPr="00E964B3" w:rsidTr="002350BA">
        <w:trPr>
          <w:cnfStyle w:val="1000000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Subspecies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1000000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4B3">
              <w:rPr>
                <w:rFonts w:ascii="Times New Roman" w:eastAsia="Times New Roman" w:hAnsi="Times New Roman" w:cs="Times New Roman"/>
              </w:rPr>
              <w:t>Culmen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 xml:space="preserve">Exposed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</w:rPr>
              <w:t>Culmen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Beak Width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Beak Depth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Wing Cord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Tarsus Length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bidentata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14.3 ± 1.36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21.2 ± 0.78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8.09 ± 0.33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8.78 ± 0.48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97.6 ± 4.30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21.6 ± 0.83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citrea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13.0 ± 0.61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21.3 ± 1.21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8.03 ± 0.36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8.66 ± 0.48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93.4 ± 3.09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21.5 ± 1.07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flammea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15.6 ± 1.44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21.7 ± 0.57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8.73 ± 0.28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9.43 ± 0.44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95.1 ± 2.58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23.2 ± 0.47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sanguinolenta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14.1 ± 1.28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21.3 ± 0.70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7.86 ± 0.312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8.42 ± 0.51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96.3 ± 3.18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21.2 ± 0.83</w:t>
            </w:r>
          </w:p>
        </w:tc>
      </w:tr>
    </w:tbl>
    <w:p w:rsidR="0048602C" w:rsidRDefault="0048602C" w:rsidP="0048602C"/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  <w:r w:rsidRPr="00E964B3">
        <w:rPr>
          <w:rFonts w:ascii="Times New Roman" w:hAnsi="Times New Roman" w:cs="Times New Roman"/>
          <w:b/>
          <w:sz w:val="24"/>
          <w:szCs w:val="24"/>
        </w:rPr>
        <w:t>Table S4</w:t>
      </w:r>
      <w:r w:rsidRPr="00E964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64B3">
        <w:rPr>
          <w:rFonts w:ascii="Times New Roman" w:hAnsi="Times New Roman" w:cs="Times New Roman"/>
          <w:sz w:val="24"/>
          <w:szCs w:val="24"/>
        </w:rPr>
        <w:t xml:space="preserve">Summary of morphological measurements (mean </w:t>
      </w:r>
      <w:r w:rsidRPr="00E964B3">
        <w:rPr>
          <w:rFonts w:ascii="Times New Roman" w:eastAsia="Times New Roman" w:hAnsi="Times New Roman" w:cs="Times New Roman"/>
          <w:sz w:val="24"/>
          <w:szCs w:val="24"/>
        </w:rPr>
        <w:t>± standard deviation).</w:t>
      </w:r>
      <w:proofErr w:type="gramEnd"/>
      <w:r w:rsidRPr="00E964B3">
        <w:rPr>
          <w:rFonts w:ascii="Times New Roman" w:eastAsia="Times New Roman" w:hAnsi="Times New Roman" w:cs="Times New Roman"/>
          <w:sz w:val="24"/>
          <w:szCs w:val="24"/>
        </w:rPr>
        <w:t xml:space="preserve"> Measures are in mm.</w:t>
      </w:r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ombreadoclaro"/>
        <w:tblW w:w="0" w:type="dxa"/>
        <w:tblLook w:val="04A0"/>
      </w:tblPr>
      <w:tblGrid>
        <w:gridCol w:w="1977"/>
        <w:gridCol w:w="1877"/>
        <w:gridCol w:w="1433"/>
        <w:gridCol w:w="1437"/>
        <w:gridCol w:w="2025"/>
      </w:tblGrid>
      <w:tr w:rsidR="0048602C" w:rsidRPr="00E964B3" w:rsidTr="002350BA">
        <w:trPr>
          <w:cnfStyle w:val="1000000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lastRenderedPageBreak/>
              <w:t>Subspecies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Brightness (B1)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4B3">
              <w:rPr>
                <w:rFonts w:ascii="Times New Roman" w:eastAsia="Times New Roman" w:hAnsi="Times New Roman" w:cs="Times New Roman"/>
              </w:rPr>
              <w:t>Chroma</w:t>
            </w:r>
            <w:proofErr w:type="spellEnd"/>
            <w:r w:rsidRPr="00E964B3">
              <w:rPr>
                <w:rFonts w:ascii="Times New Roman" w:eastAsia="Times New Roman" w:hAnsi="Times New Roman" w:cs="Times New Roman"/>
              </w:rPr>
              <w:t xml:space="preserve"> (S8)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Hue (H3)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 xml:space="preserve">Red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</w:rPr>
              <w:t>Chroma</w:t>
            </w:r>
            <w:proofErr w:type="spellEnd"/>
            <w:r w:rsidRPr="00E964B3">
              <w:rPr>
                <w:rFonts w:ascii="Times New Roman" w:eastAsia="Times New Roman" w:hAnsi="Times New Roman" w:cs="Times New Roman"/>
              </w:rPr>
              <w:t xml:space="preserve"> (S1R)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bidentata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7561.79 ± 1076.86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2.04 ± 0.2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558.75 ± 4.96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0.52 ± 0.03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citrea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5666.24 ± 795.61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2.35 ± 0.27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575.54 ± 5.01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0.58 ± 0.05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flammea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8148.67 ± 913.18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2.07 ± 0.13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558.44 ± 8.11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0.52 ± 0.03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sanguinolenta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6125.95 ± 863.07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2.44 ± 0.29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575.17 ± 7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0.59 ± 0.05</w:t>
            </w:r>
          </w:p>
        </w:tc>
      </w:tr>
    </w:tbl>
    <w:p w:rsidR="0048602C" w:rsidRDefault="0048602C" w:rsidP="0048602C">
      <w:pPr>
        <w:rPr>
          <w:rFonts w:ascii="Times New Roman" w:hAnsi="Times New Roman" w:cs="Times New Roman"/>
          <w:sz w:val="24"/>
          <w:szCs w:val="24"/>
        </w:rPr>
      </w:pPr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  <w:r w:rsidRPr="00E964B3">
        <w:rPr>
          <w:rFonts w:ascii="Times New Roman" w:hAnsi="Times New Roman" w:cs="Times New Roman"/>
          <w:b/>
          <w:sz w:val="24"/>
          <w:szCs w:val="24"/>
        </w:rPr>
        <w:t>Table S5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Summary of ventral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carotenoid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color variables in males (mean </w:t>
      </w:r>
      <w:r w:rsidRPr="00E964B3">
        <w:rPr>
          <w:rFonts w:ascii="Times New Roman" w:eastAsia="Times New Roman" w:hAnsi="Times New Roman" w:cs="Times New Roman"/>
          <w:sz w:val="24"/>
          <w:szCs w:val="24"/>
        </w:rPr>
        <w:t>± standard deviation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ombreadoclaro"/>
        <w:tblW w:w="0" w:type="dxa"/>
        <w:tblLook w:val="04A0"/>
      </w:tblPr>
      <w:tblGrid>
        <w:gridCol w:w="1977"/>
        <w:gridCol w:w="1877"/>
        <w:gridCol w:w="1433"/>
        <w:gridCol w:w="1437"/>
      </w:tblGrid>
      <w:tr w:rsidR="0048602C" w:rsidRPr="00E964B3" w:rsidTr="002350BA">
        <w:trPr>
          <w:cnfStyle w:val="1000000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Subspecies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Brightness (B1)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4B3">
              <w:rPr>
                <w:rFonts w:ascii="Times New Roman" w:eastAsia="Times New Roman" w:hAnsi="Times New Roman" w:cs="Times New Roman"/>
              </w:rPr>
              <w:t>Chroma</w:t>
            </w:r>
            <w:proofErr w:type="spellEnd"/>
            <w:r w:rsidRPr="00E964B3">
              <w:rPr>
                <w:rFonts w:ascii="Times New Roman" w:eastAsia="Times New Roman" w:hAnsi="Times New Roman" w:cs="Times New Roman"/>
              </w:rPr>
              <w:t xml:space="preserve"> (S8)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Hue (H3)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bidentata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8634.76 ± 1800.54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1.66 ± 0.12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507 ± 4.21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citrea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6983.29 ± 1139.26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1.75 ± 0.17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511.92 ± 4.23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flammea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9525.42 ± 637.36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1.76 ± 0.05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507.5 ± 5.07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sanguinolenta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7272.37 ± 1005.87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1.81 ± 0.19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511.25 ± 4.73</w:t>
            </w:r>
          </w:p>
        </w:tc>
      </w:tr>
    </w:tbl>
    <w:p w:rsidR="0048602C" w:rsidRDefault="0048602C" w:rsidP="0048602C">
      <w:pPr>
        <w:rPr>
          <w:rFonts w:ascii="Times New Roman" w:hAnsi="Times New Roman" w:cs="Times New Roman"/>
          <w:sz w:val="24"/>
          <w:szCs w:val="24"/>
        </w:rPr>
      </w:pPr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  <w:r w:rsidRPr="00E964B3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Summary of ventral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carotenoid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color variables in females (mean </w:t>
      </w:r>
      <w:r w:rsidRPr="00E964B3">
        <w:rPr>
          <w:rFonts w:ascii="Times New Roman" w:eastAsia="Times New Roman" w:hAnsi="Times New Roman" w:cs="Times New Roman"/>
          <w:sz w:val="24"/>
          <w:szCs w:val="24"/>
        </w:rPr>
        <w:t>± standard deviation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Sombreadoclaro"/>
        <w:tblW w:w="0" w:type="dxa"/>
        <w:tblLook w:val="04A0"/>
      </w:tblPr>
      <w:tblGrid>
        <w:gridCol w:w="1977"/>
        <w:gridCol w:w="1767"/>
        <w:gridCol w:w="1433"/>
        <w:gridCol w:w="1657"/>
      </w:tblGrid>
      <w:tr w:rsidR="0048602C" w:rsidRPr="00E964B3" w:rsidTr="002350BA">
        <w:trPr>
          <w:cnfStyle w:val="1000000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lastRenderedPageBreak/>
              <w:t>Subspecies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Brightness (B1)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4B3">
              <w:rPr>
                <w:rFonts w:ascii="Times New Roman" w:eastAsia="Times New Roman" w:hAnsi="Times New Roman" w:cs="Times New Roman"/>
              </w:rPr>
              <w:t>Chroma</w:t>
            </w:r>
            <w:proofErr w:type="spellEnd"/>
            <w:r w:rsidRPr="00E964B3">
              <w:rPr>
                <w:rFonts w:ascii="Times New Roman" w:eastAsia="Times New Roman" w:hAnsi="Times New Roman" w:cs="Times New Roman"/>
              </w:rPr>
              <w:t xml:space="preserve"> (S8)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Hue (H3)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bidentata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3599.33 ± 624.44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0.91 ± 0.19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571.75 ± 102.46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citrea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2766.37 ± 829.75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0.89 ± 0.19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582.92 ± 95.36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flammea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3694.42 ± 519.47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0.75 ± 0.15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610.67 ± 12.12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sanguinolenta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2951.25 ± 637.54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0.99 ± 0.16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610.38 ± 15.45</w:t>
            </w:r>
          </w:p>
        </w:tc>
      </w:tr>
    </w:tbl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  <w:r w:rsidRPr="00E964B3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Summary of tail (melanin) color variables in males (mean </w:t>
      </w:r>
      <w:r w:rsidRPr="00E964B3">
        <w:rPr>
          <w:rFonts w:ascii="Times New Roman" w:eastAsia="Times New Roman" w:hAnsi="Times New Roman" w:cs="Times New Roman"/>
          <w:sz w:val="24"/>
          <w:szCs w:val="24"/>
        </w:rPr>
        <w:t>± standard deviation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ombreadoclaro"/>
        <w:tblW w:w="0" w:type="dxa"/>
        <w:tblLook w:val="04A0"/>
      </w:tblPr>
      <w:tblGrid>
        <w:gridCol w:w="1977"/>
        <w:gridCol w:w="1767"/>
        <w:gridCol w:w="1433"/>
        <w:gridCol w:w="1657"/>
      </w:tblGrid>
      <w:tr w:rsidR="0048602C" w:rsidRPr="00E964B3" w:rsidTr="002350BA">
        <w:trPr>
          <w:cnfStyle w:val="1000000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Subspecies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Brightness (B1)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4B3">
              <w:rPr>
                <w:rFonts w:ascii="Times New Roman" w:eastAsia="Times New Roman" w:hAnsi="Times New Roman" w:cs="Times New Roman"/>
              </w:rPr>
              <w:t>Chroma</w:t>
            </w:r>
            <w:proofErr w:type="spellEnd"/>
            <w:r w:rsidRPr="00E964B3">
              <w:rPr>
                <w:rFonts w:ascii="Times New Roman" w:eastAsia="Times New Roman" w:hAnsi="Times New Roman" w:cs="Times New Roman"/>
              </w:rPr>
              <w:t xml:space="preserve"> (S8)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Hue (H3)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bidentata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4384.08 ± 698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0.88 ± 0.19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491.12 ± 151.62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citrea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3199.61 ± 860.94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0.98 ± 0.15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571.19 ± 98.27</w:t>
            </w:r>
          </w:p>
        </w:tc>
      </w:tr>
      <w:tr w:rsidR="0048602C" w:rsidRPr="00E964B3" w:rsidTr="002350BA">
        <w:trPr>
          <w:cnfStyle w:val="000000100000"/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flammea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3281.72 ± 534.9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1.03 ± 0.23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597.75 ± 13.43</w:t>
            </w:r>
          </w:p>
        </w:tc>
      </w:tr>
      <w:tr w:rsidR="0048602C" w:rsidRPr="00E964B3" w:rsidTr="002350BA">
        <w:trPr>
          <w:trHeight w:val="252"/>
        </w:trPr>
        <w:tc>
          <w:tcPr>
            <w:cnfStyle w:val="001000000000"/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E964B3">
              <w:rPr>
                <w:rFonts w:ascii="Times New Roman" w:eastAsia="Times New Roman" w:hAnsi="Times New Roman" w:cs="Times New Roman"/>
                <w:i/>
              </w:rPr>
              <w:t xml:space="preserve">P. b. </w:t>
            </w:r>
            <w:proofErr w:type="spellStart"/>
            <w:r w:rsidRPr="00E964B3">
              <w:rPr>
                <w:rFonts w:ascii="Times New Roman" w:eastAsia="Times New Roman" w:hAnsi="Times New Roman" w:cs="Times New Roman"/>
                <w:i/>
              </w:rPr>
              <w:t>sanguinolenta</w:t>
            </w:r>
            <w:proofErr w:type="spellEnd"/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3706.19 ± 847.94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1.11 ± 0.18</w:t>
            </w:r>
          </w:p>
        </w:tc>
        <w:tc>
          <w:tcPr>
            <w:tcW w:w="0" w:type="auto"/>
            <w:hideMark/>
          </w:tcPr>
          <w:p w:rsidR="0048602C" w:rsidRPr="00E964B3" w:rsidRDefault="0048602C" w:rsidP="002350BA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E964B3">
              <w:rPr>
                <w:rFonts w:ascii="Times New Roman" w:eastAsia="Times New Roman" w:hAnsi="Times New Roman" w:cs="Times New Roman"/>
              </w:rPr>
              <w:t>591.58 ± 12.79</w:t>
            </w:r>
          </w:p>
        </w:tc>
      </w:tr>
    </w:tbl>
    <w:p w:rsidR="0048602C" w:rsidRDefault="0048602C" w:rsidP="0048602C">
      <w:pPr>
        <w:rPr>
          <w:rFonts w:ascii="Times New Roman" w:hAnsi="Times New Roman" w:cs="Times New Roman"/>
          <w:sz w:val="24"/>
          <w:szCs w:val="24"/>
        </w:rPr>
      </w:pPr>
    </w:p>
    <w:p w:rsidR="0048602C" w:rsidRDefault="0048602C" w:rsidP="0048602C">
      <w:pPr>
        <w:rPr>
          <w:rFonts w:ascii="Times New Roman" w:eastAsia="Times New Roman" w:hAnsi="Times New Roman" w:cs="Times New Roman"/>
          <w:sz w:val="24"/>
          <w:szCs w:val="24"/>
        </w:rPr>
      </w:pPr>
      <w:r w:rsidRPr="00E964B3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Summary of tail (melanin) color variables in females (mean </w:t>
      </w:r>
      <w:r w:rsidRPr="00E964B3">
        <w:rPr>
          <w:rFonts w:ascii="Times New Roman" w:eastAsia="Times New Roman" w:hAnsi="Times New Roman" w:cs="Times New Roman"/>
          <w:sz w:val="24"/>
          <w:szCs w:val="24"/>
        </w:rPr>
        <w:t>± standard deviation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8602C" w:rsidRPr="00E964B3" w:rsidRDefault="0048602C" w:rsidP="0048602C">
      <w:pPr>
        <w:rPr>
          <w:rFonts w:ascii="Times New Roman" w:hAnsi="Times New Roman" w:cs="Times New Roman"/>
          <w:sz w:val="24"/>
          <w:szCs w:val="24"/>
        </w:rPr>
      </w:pPr>
    </w:p>
    <w:p w:rsidR="0048602C" w:rsidRDefault="0048602C" w:rsidP="009F7212">
      <w:pPr>
        <w:rPr>
          <w:rFonts w:ascii="Times New Roman" w:hAnsi="Times New Roman" w:cs="Times New Roman"/>
          <w:sz w:val="24"/>
          <w:szCs w:val="24"/>
        </w:rPr>
      </w:pPr>
    </w:p>
    <w:p w:rsidR="009F7212" w:rsidRPr="009F7212" w:rsidRDefault="009F7212">
      <w:pPr>
        <w:rPr>
          <w:rFonts w:ascii="Times New Roman" w:hAnsi="Times New Roman" w:cs="Times New Roman"/>
          <w:sz w:val="24"/>
          <w:szCs w:val="24"/>
        </w:rPr>
      </w:pPr>
    </w:p>
    <w:sectPr w:rsidR="009F7212" w:rsidRPr="009F7212" w:rsidSect="00441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212"/>
    <w:rsid w:val="00116E6E"/>
    <w:rsid w:val="002A2F3D"/>
    <w:rsid w:val="004413D4"/>
    <w:rsid w:val="0048602C"/>
    <w:rsid w:val="005B71CF"/>
    <w:rsid w:val="009F7212"/>
    <w:rsid w:val="00AC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F72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Sahid Martin Robles Bello</dc:creator>
  <cp:lastModifiedBy>Sahid Martin Robles Bello</cp:lastModifiedBy>
  <cp:revision>2</cp:revision>
  <dcterms:created xsi:type="dcterms:W3CDTF">2022-01-12T02:55:00Z</dcterms:created>
  <dcterms:modified xsi:type="dcterms:W3CDTF">2022-01-12T02:55:00Z</dcterms:modified>
</cp:coreProperties>
</file>