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B500" w14:textId="1255839C" w:rsidR="00914707" w:rsidRPr="00914707" w:rsidRDefault="00914707" w:rsidP="00914707">
      <w:pPr>
        <w:shd w:val="clear" w:color="auto" w:fill="E1F9EC"/>
        <w:spacing w:before="100" w:beforeAutospacing="1" w:after="100" w:afterAutospacing="1" w:line="240" w:lineRule="auto"/>
        <w:outlineLvl w:val="1"/>
        <w:rPr>
          <w:rFonts w:asciiTheme="majorBidi" w:eastAsia="Times New Roman" w:hAnsiTheme="majorBidi" w:cstheme="majorBidi"/>
          <w:b/>
          <w:bCs/>
          <w:color w:val="484848"/>
          <w:sz w:val="24"/>
          <w:szCs w:val="24"/>
        </w:rPr>
      </w:pPr>
      <w:r w:rsidRPr="00914707">
        <w:rPr>
          <w:rFonts w:asciiTheme="majorBidi" w:eastAsia="Times New Roman" w:hAnsiTheme="majorBidi" w:cstheme="majorBidi"/>
          <w:b/>
          <w:bCs/>
          <w:color w:val="484848"/>
          <w:sz w:val="24"/>
          <w:szCs w:val="24"/>
        </w:rPr>
        <w:t>Systematic Review and/or Meta-Analysis Rationale</w:t>
      </w:r>
    </w:p>
    <w:p w14:paraId="62F122CD" w14:textId="77777777" w:rsidR="00BA43D4" w:rsidRPr="00BA43D4" w:rsidRDefault="00BA43D4" w:rsidP="00BA43D4">
      <w:pPr>
        <w:shd w:val="clear" w:color="auto" w:fill="E1F9EC"/>
        <w:spacing w:before="100" w:beforeAutospacing="1" w:after="100" w:afterAutospacing="1" w:line="240" w:lineRule="auto"/>
        <w:rPr>
          <w:rFonts w:asciiTheme="majorBidi" w:eastAsia="Times New Roman" w:hAnsiTheme="majorBidi" w:cstheme="majorBidi"/>
          <w:color w:val="484848"/>
          <w:sz w:val="24"/>
          <w:szCs w:val="24"/>
        </w:rPr>
      </w:pPr>
      <w:r w:rsidRPr="00BA43D4">
        <w:rPr>
          <w:rFonts w:asciiTheme="majorBidi" w:eastAsia="Times New Roman" w:hAnsiTheme="majorBidi" w:cstheme="majorBidi"/>
          <w:color w:val="484848"/>
          <w:sz w:val="24"/>
          <w:szCs w:val="24"/>
        </w:rPr>
        <w:t>For systematic reviews, authors need to provide the following information:</w:t>
      </w:r>
    </w:p>
    <w:p w14:paraId="47FE13BC" w14:textId="6569BF51" w:rsidR="00BA43D4" w:rsidRPr="007D5A73" w:rsidRDefault="00BA43D4" w:rsidP="00BA43D4">
      <w:pPr>
        <w:pStyle w:val="ListParagraph"/>
        <w:numPr>
          <w:ilvl w:val="0"/>
          <w:numId w:val="2"/>
        </w:numPr>
        <w:shd w:val="clear" w:color="auto" w:fill="E1F9EC"/>
        <w:spacing w:before="100" w:beforeAutospacing="1" w:after="100" w:afterAutospacing="1" w:line="240" w:lineRule="auto"/>
        <w:rPr>
          <w:rFonts w:asciiTheme="majorBidi" w:eastAsia="Times New Roman" w:hAnsiTheme="majorBidi" w:cstheme="majorBidi"/>
          <w:color w:val="484848"/>
          <w:sz w:val="24"/>
          <w:szCs w:val="24"/>
          <w:highlight w:val="green"/>
        </w:rPr>
      </w:pPr>
      <w:r w:rsidRPr="007D5A73">
        <w:rPr>
          <w:rFonts w:asciiTheme="majorBidi" w:eastAsia="Times New Roman" w:hAnsiTheme="majorBidi" w:cstheme="majorBidi"/>
          <w:color w:val="484848"/>
          <w:sz w:val="24"/>
          <w:szCs w:val="24"/>
          <w:highlight w:val="green"/>
        </w:rPr>
        <w:t xml:space="preserve">The rationale for conducting the systematic </w:t>
      </w:r>
      <w:proofErr w:type="gramStart"/>
      <w:r w:rsidRPr="007D5A73">
        <w:rPr>
          <w:rFonts w:asciiTheme="majorBidi" w:eastAsia="Times New Roman" w:hAnsiTheme="majorBidi" w:cstheme="majorBidi"/>
          <w:color w:val="484848"/>
          <w:sz w:val="24"/>
          <w:szCs w:val="24"/>
          <w:highlight w:val="green"/>
        </w:rPr>
        <w:t>review;</w:t>
      </w:r>
      <w:proofErr w:type="gramEnd"/>
    </w:p>
    <w:p w14:paraId="403F214B" w14:textId="3E71F382" w:rsidR="00914707" w:rsidRDefault="00914707">
      <w:pPr>
        <w:rPr>
          <w:rFonts w:asciiTheme="majorBidi" w:hAnsiTheme="majorBidi" w:cstheme="majorBidi"/>
          <w:sz w:val="24"/>
          <w:szCs w:val="24"/>
        </w:rPr>
      </w:pPr>
    </w:p>
    <w:p w14:paraId="0BA2C39B" w14:textId="77777777" w:rsidR="007D5A73" w:rsidRDefault="007D5A73" w:rsidP="007D5A73">
      <w:pPr>
        <w:spacing w:line="480" w:lineRule="auto"/>
        <w:ind w:firstLine="360"/>
        <w:jc w:val="both"/>
        <w:rPr>
          <w:rFonts w:asciiTheme="majorBidi" w:eastAsia="TimesNewRomanPSMT" w:hAnsiTheme="majorBidi" w:cstheme="majorBidi"/>
          <w:sz w:val="24"/>
          <w:szCs w:val="24"/>
        </w:rPr>
      </w:pPr>
      <w:r w:rsidRPr="002F744F">
        <w:rPr>
          <w:rFonts w:asciiTheme="majorBidi" w:eastAsia="TimesNewRomanPSMT" w:hAnsiTheme="majorBidi" w:cstheme="majorBidi"/>
          <w:sz w:val="24"/>
          <w:szCs w:val="24"/>
        </w:rPr>
        <w:t>Dental implant</w:t>
      </w:r>
      <w:r>
        <w:rPr>
          <w:rFonts w:asciiTheme="majorBidi" w:eastAsia="TimesNewRomanPSMT" w:hAnsiTheme="majorBidi" w:cstheme="majorBidi"/>
          <w:sz w:val="24"/>
          <w:szCs w:val="24"/>
        </w:rPr>
        <w:t>s</w:t>
      </w:r>
      <w:r w:rsidRPr="002F744F">
        <w:rPr>
          <w:rFonts w:asciiTheme="majorBidi" w:eastAsia="TimesNewRomanPSMT" w:hAnsiTheme="majorBidi" w:cstheme="majorBidi"/>
          <w:sz w:val="24"/>
          <w:szCs w:val="24"/>
        </w:rPr>
        <w:t xml:space="preserve"> are commonly used in dentistry, orthopedic surgery and other specialties that work on human skeleton. Biocompatibility properties of these materials have been studied extensively. However, there is debate over the function of ROS in the remodeling process and the dental implants' long-term stability. The key function of ROS in angiogenesis-osteogenesis coupling may influence the effectiveness of dental implant osseointegration because bone is a highly vascularized tissue</w:t>
      </w:r>
      <w:r>
        <w:rPr>
          <w:rFonts w:asciiTheme="majorBidi" w:eastAsia="TimesNewRomanPSMT" w:hAnsiTheme="majorBidi" w:cstheme="majorBidi"/>
          <w:sz w:val="24"/>
          <w:szCs w:val="24"/>
        </w:rPr>
        <w:t xml:space="preserve"> </w:t>
      </w:r>
      <w:r>
        <w:rPr>
          <w:rFonts w:asciiTheme="majorBidi" w:eastAsia="TimesNewRomanPSMT" w:hAnsiTheme="majorBidi" w:cstheme="majorBidi"/>
          <w:sz w:val="24"/>
          <w:szCs w:val="24"/>
        </w:rPr>
        <w:fldChar w:fldCharType="begin" w:fldLock="1"/>
      </w:r>
      <w:r>
        <w:rPr>
          <w:rFonts w:asciiTheme="majorBidi" w:eastAsia="TimesNewRomanPSMT" w:hAnsiTheme="majorBidi" w:cstheme="majorBidi"/>
          <w:sz w:val="24"/>
          <w:szCs w:val="24"/>
        </w:rPr>
        <w:instrText>ADDIN CSL_CITATION {"citationItems":[{"id":"ITEM-1","itemData":{"DOI":"10.1016/j.actbio.2018.04.008","ISSN":"18787568","PMID":"29649637","abstract":"Mechanism underlying the diabetes-induced poor osteointegration of implants remains elusive, making it a challenge to develop corresponding solutions. Here, we studied the role of angiogenesis in the diabetes-induced poor bone repair at the bone-implant interface (BII) and the related mechanisms. In vivo, titanium screws were implanted in the femurs of mice, and, in vitro, vascular endothelial cell (VEC) was cultured on titanium surface. Results showed that, compared with normal milieu (NM), diabetic milieu (DM) led to angiogenesis inhibition around implants which resulted in reduced osteoprogenitors and poor bone formation on BII in vivo. In vitro, DM caused significant increase of NADPH oxidases (NOX), dysfunction of mitochondria and overproduction of reactive oxygen species (ROS) in VEC on titanium surface, inducing obvious cell dysfunction. Both Mito-TEMPO (Mito, a mitochondria-targeted ROS antagonist) and apocynin (APO, a NOX inhibitor) effectively attenuated the oxidative stress and dysfunction of VEC, with the beneficial effects of APO significantly better than those of Mito. Further study showed that the diabetes-induced metabolic disturbance of VEC was significantly related to the increase of advanced glycation end products (AGEs) at the BII. Our results suggested that the AGEs-related and NOX-triggered cellular oxidative stress leads to VEC dysfunction and angiogenesis impairment at the BII, which plays a critical role in the compromised implant osteointegration under diabetic conditions. These demonstrated new insights into the BII in pathological states and also provided NOX and AGEs as promising therapeutic targets for developing novel implant materials to accelerate the angiogenesis and osteointegration of implants in diabetic patients with hyperglycemia. Statement of Significance: The high failure rate of bone implants in diabetic patients causes patients terrible pain and limits the clinical application of implant materials. The mechanism underlying this phenomenon needs elucidation so that it would be possible to develop corresponding solutions. Our study demonstrated that the AGEs-related and NOX-triggered oxidative stress of VEC leads to angiogenesis impairment at the bone-implant interface (BII) in diabetes. These are critical mechanisms underlying the compromised implant osteointegration in diabetic hyperglycemia. These provide new insights into the BII in diseased states and also suggest NOX and AGEs as crucial therapeutic targets …","author":[{"dropping-particle":"","family":"Hu","given":"Xiao Fan","non-dropping-particle":"","parse-names":false,"suffix":""},{"dropping-particle":"","family":"Wang","given":"Lin","non-dropping-particle":"","parse-names":false,"suffix":""},{"dropping-particle":"","family":"Xiang","given":"Geng","non-dropping-particle":"","parse-names":false,"suffix":""},{"dropping-particle":"","family":"Lei","given":"Wei","non-dropping-particle":"","parse-names":false,"suffix":""},{"dropping-particle":"","family":"Feng","given":"Ya Fei","non-dropping-particle":"","parse-names":false,"suffix":""}],"container-title":"Acta Biomaterialia","id":"ITEM-1","issued":{"date-parts":[["2018"]]},"page":"470-487","publisher":"Acta Materialia Inc.","title":"Angiogenesis impairment by the NADPH oxidase-triggered oxidative stress at the bone-implant interface: Critical mechanisms and therapeutic targets for implant failure under hyperglycemic conditions in diabetes","type":"article-journal","volume":"73"},"uris":["http://www.mendeley.com/documents/?uuid=551afe47-ac5a-4ac2-8ce2-8b2db0955ef1"]}],"mendeley":{"formattedCitation":"(Hu &lt;i&gt;et al.&lt;/i&gt;, 2018)","plainTextFormattedCitation":"(Hu et al., 2018)","previouslyFormattedCitation":"(Hu &lt;i&gt;et al.&lt;/i&gt;, 2018)"},"properties":{"noteIndex":0},"schema":"https://github.com/citation-style-language/schema/raw/master/csl-citation.json"}</w:instrText>
      </w:r>
      <w:r>
        <w:rPr>
          <w:rFonts w:asciiTheme="majorBidi" w:eastAsia="TimesNewRomanPSMT" w:hAnsiTheme="majorBidi" w:cstheme="majorBidi"/>
          <w:sz w:val="24"/>
          <w:szCs w:val="24"/>
        </w:rPr>
        <w:fldChar w:fldCharType="separate"/>
      </w:r>
      <w:r w:rsidRPr="00EC3909">
        <w:rPr>
          <w:rFonts w:asciiTheme="majorBidi" w:eastAsia="TimesNewRomanPSMT" w:hAnsiTheme="majorBidi" w:cstheme="majorBidi"/>
          <w:noProof/>
          <w:sz w:val="24"/>
          <w:szCs w:val="24"/>
        </w:rPr>
        <w:t xml:space="preserve">(Hu </w:t>
      </w:r>
      <w:r w:rsidRPr="00EC3909">
        <w:rPr>
          <w:rFonts w:asciiTheme="majorBidi" w:eastAsia="TimesNewRomanPSMT" w:hAnsiTheme="majorBidi" w:cstheme="majorBidi"/>
          <w:i/>
          <w:noProof/>
          <w:sz w:val="24"/>
          <w:szCs w:val="24"/>
        </w:rPr>
        <w:t>et al.</w:t>
      </w:r>
      <w:r w:rsidRPr="00EC3909">
        <w:rPr>
          <w:rFonts w:asciiTheme="majorBidi" w:eastAsia="TimesNewRomanPSMT" w:hAnsiTheme="majorBidi" w:cstheme="majorBidi"/>
          <w:noProof/>
          <w:sz w:val="24"/>
          <w:szCs w:val="24"/>
        </w:rPr>
        <w:t>, 2018)</w:t>
      </w:r>
      <w:r>
        <w:rPr>
          <w:rFonts w:asciiTheme="majorBidi" w:eastAsia="TimesNewRomanPSMT" w:hAnsiTheme="majorBidi" w:cstheme="majorBidi"/>
          <w:sz w:val="24"/>
          <w:szCs w:val="24"/>
        </w:rPr>
        <w:fldChar w:fldCharType="end"/>
      </w:r>
      <w:r w:rsidRPr="002F744F">
        <w:rPr>
          <w:rFonts w:asciiTheme="majorBidi" w:eastAsia="TimesNewRomanPSMT" w:hAnsiTheme="majorBidi" w:cstheme="majorBidi"/>
          <w:sz w:val="24"/>
          <w:szCs w:val="24"/>
        </w:rPr>
        <w:t>. There has recently been a growing body of evidence demonstrating the link between ROS generation during intraosseous dental implant implantation and bone vascularization and remodeling. The primary objective of this systematic review is to estimate the extent of ROS release after dental implant</w:t>
      </w:r>
      <w:r>
        <w:rPr>
          <w:rFonts w:asciiTheme="majorBidi" w:eastAsia="TimesNewRomanPSMT" w:hAnsiTheme="majorBidi" w:cstheme="majorBidi"/>
          <w:sz w:val="24"/>
          <w:szCs w:val="24"/>
        </w:rPr>
        <w:t xml:space="preserve"> placement </w:t>
      </w:r>
      <w:r w:rsidRPr="002F744F">
        <w:rPr>
          <w:rFonts w:asciiTheme="majorBidi" w:eastAsia="TimesNewRomanPSMT" w:hAnsiTheme="majorBidi" w:cstheme="majorBidi"/>
          <w:sz w:val="24"/>
          <w:szCs w:val="24"/>
        </w:rPr>
        <w:t xml:space="preserve">in bone and its impact on </w:t>
      </w:r>
      <w:r>
        <w:rPr>
          <w:rFonts w:asciiTheme="majorBidi" w:eastAsia="TimesNewRomanPSMT" w:hAnsiTheme="majorBidi" w:cstheme="majorBidi"/>
          <w:sz w:val="24"/>
          <w:szCs w:val="24"/>
        </w:rPr>
        <w:t xml:space="preserve">bone </w:t>
      </w:r>
      <w:r w:rsidRPr="002F744F">
        <w:rPr>
          <w:rFonts w:asciiTheme="majorBidi" w:eastAsia="TimesNewRomanPSMT" w:hAnsiTheme="majorBidi" w:cstheme="majorBidi"/>
          <w:sz w:val="24"/>
          <w:szCs w:val="24"/>
        </w:rPr>
        <w:t>remodeling.</w:t>
      </w:r>
    </w:p>
    <w:p w14:paraId="78DF3AC2" w14:textId="328EFF54" w:rsidR="007D5A73" w:rsidRPr="00EB154D" w:rsidRDefault="007D5A73" w:rsidP="007D5A73">
      <w:pPr>
        <w:autoSpaceDE w:val="0"/>
        <w:autoSpaceDN w:val="0"/>
        <w:adjustRightInd w:val="0"/>
        <w:spacing w:after="0" w:line="480" w:lineRule="auto"/>
        <w:ind w:firstLine="720"/>
        <w:jc w:val="both"/>
        <w:rPr>
          <w:rFonts w:asciiTheme="majorBidi" w:eastAsia="TimesNewRomanPSMT" w:hAnsiTheme="majorBidi" w:cstheme="majorBidi"/>
          <w:color w:val="000000" w:themeColor="text1"/>
          <w:sz w:val="24"/>
          <w:szCs w:val="24"/>
        </w:rPr>
      </w:pPr>
      <w:bookmarkStart w:id="0" w:name="_Hlk86322639"/>
      <w:r w:rsidRPr="00EB154D">
        <w:rPr>
          <w:rFonts w:asciiTheme="majorBidi" w:eastAsia="TimesNewRomanPSMT" w:hAnsiTheme="majorBidi" w:cstheme="majorBidi"/>
          <w:color w:val="000000" w:themeColor="text1"/>
          <w:sz w:val="24"/>
          <w:szCs w:val="24"/>
        </w:rPr>
        <w:t xml:space="preserve">High quality and quantity of bone regeneration is the </w:t>
      </w:r>
      <w:proofErr w:type="gramStart"/>
      <w:r w:rsidRPr="00EB154D">
        <w:rPr>
          <w:rFonts w:asciiTheme="majorBidi" w:eastAsia="TimesNewRomanPSMT" w:hAnsiTheme="majorBidi" w:cstheme="majorBidi"/>
          <w:color w:val="000000" w:themeColor="text1"/>
          <w:sz w:val="24"/>
          <w:szCs w:val="24"/>
        </w:rPr>
        <w:t>ultimate aim</w:t>
      </w:r>
      <w:proofErr w:type="gramEnd"/>
      <w:r w:rsidRPr="00EB154D">
        <w:rPr>
          <w:rFonts w:asciiTheme="majorBidi" w:eastAsia="TimesNewRomanPSMT" w:hAnsiTheme="majorBidi" w:cstheme="majorBidi"/>
          <w:color w:val="000000" w:themeColor="text1"/>
          <w:sz w:val="24"/>
          <w:szCs w:val="24"/>
        </w:rPr>
        <w:t xml:space="preserve"> of an implanted </w:t>
      </w:r>
      <w:r w:rsidR="00E67C52" w:rsidRPr="00EB154D">
        <w:rPr>
          <w:rFonts w:asciiTheme="majorBidi" w:eastAsia="TimesNewRomanPSMT" w:hAnsiTheme="majorBidi" w:cstheme="majorBidi"/>
          <w:color w:val="000000" w:themeColor="text1"/>
          <w:sz w:val="24"/>
          <w:szCs w:val="24"/>
        </w:rPr>
        <w:t>biomaterial</w:t>
      </w:r>
      <w:r w:rsidRPr="00EB154D">
        <w:rPr>
          <w:rFonts w:asciiTheme="majorBidi" w:eastAsia="TimesNewRomanPSMT" w:hAnsiTheme="majorBidi" w:cstheme="majorBidi"/>
          <w:color w:val="000000" w:themeColor="text1"/>
          <w:sz w:val="24"/>
          <w:szCs w:val="24"/>
        </w:rPr>
        <w:t xml:space="preserve">. Surgical trauma leading to inflammation is natural </w:t>
      </w:r>
      <w:proofErr w:type="spellStart"/>
      <w:r w:rsidRPr="00EB154D">
        <w:rPr>
          <w:rFonts w:asciiTheme="majorBidi" w:eastAsia="TimesNewRomanPSMT" w:hAnsiTheme="majorBidi" w:cstheme="majorBidi"/>
          <w:color w:val="000000" w:themeColor="text1"/>
          <w:sz w:val="24"/>
          <w:szCs w:val="24"/>
        </w:rPr>
        <w:t>sequale</w:t>
      </w:r>
      <w:proofErr w:type="spellEnd"/>
      <w:r w:rsidRPr="00EB154D">
        <w:rPr>
          <w:rFonts w:asciiTheme="majorBidi" w:eastAsia="TimesNewRomanPSMT" w:hAnsiTheme="majorBidi" w:cstheme="majorBidi"/>
          <w:color w:val="000000" w:themeColor="text1"/>
          <w:sz w:val="24"/>
          <w:szCs w:val="24"/>
        </w:rPr>
        <w:t xml:space="preserve"> during implantation procedure generating ROS that is necessary to drive multiple signal transduction for molecular healing process. Very often the site of implantation needing repair has already been infected and a </w:t>
      </w:r>
      <w:r w:rsidR="00E67C52" w:rsidRPr="00EB154D">
        <w:rPr>
          <w:rFonts w:asciiTheme="majorBidi" w:eastAsia="TimesNewRomanPSMT" w:hAnsiTheme="majorBidi" w:cstheme="majorBidi"/>
          <w:color w:val="000000" w:themeColor="text1"/>
          <w:sz w:val="24"/>
          <w:szCs w:val="24"/>
        </w:rPr>
        <w:t>certain</w:t>
      </w:r>
      <w:r w:rsidRPr="00EB154D">
        <w:rPr>
          <w:rFonts w:asciiTheme="majorBidi" w:eastAsia="TimesNewRomanPSMT" w:hAnsiTheme="majorBidi" w:cstheme="majorBidi"/>
          <w:color w:val="000000" w:themeColor="text1"/>
          <w:sz w:val="24"/>
          <w:szCs w:val="24"/>
        </w:rPr>
        <w:t xml:space="preserve"> degree of ROS production has already pre-existed even before surgical implantation of biomaterial. Combination of pre-existing ROS together with postoperative implantation trauma may </w:t>
      </w:r>
      <w:r w:rsidR="00E67C52" w:rsidRPr="00EB154D">
        <w:rPr>
          <w:rFonts w:asciiTheme="majorBidi" w:eastAsia="TimesNewRomanPSMT" w:hAnsiTheme="majorBidi" w:cstheme="majorBidi"/>
          <w:color w:val="000000" w:themeColor="text1"/>
          <w:sz w:val="24"/>
          <w:szCs w:val="24"/>
        </w:rPr>
        <w:t>produce</w:t>
      </w:r>
      <w:r w:rsidRPr="00EB154D">
        <w:rPr>
          <w:rFonts w:asciiTheme="majorBidi" w:eastAsia="TimesNewRomanPSMT" w:hAnsiTheme="majorBidi" w:cstheme="majorBidi"/>
          <w:color w:val="000000" w:themeColor="text1"/>
          <w:sz w:val="24"/>
          <w:szCs w:val="24"/>
        </w:rPr>
        <w:t xml:space="preserve"> an amount of oxidative stress that may exceed the antioxidant capacity in that </w:t>
      </w:r>
      <w:proofErr w:type="gramStart"/>
      <w:r w:rsidRPr="00EB154D">
        <w:rPr>
          <w:rFonts w:asciiTheme="majorBidi" w:eastAsia="TimesNewRomanPSMT" w:hAnsiTheme="majorBidi" w:cstheme="majorBidi"/>
          <w:color w:val="000000" w:themeColor="text1"/>
          <w:sz w:val="24"/>
          <w:szCs w:val="24"/>
        </w:rPr>
        <w:t>particular site</w:t>
      </w:r>
      <w:proofErr w:type="gramEnd"/>
      <w:r w:rsidRPr="00EB154D">
        <w:rPr>
          <w:rFonts w:asciiTheme="majorBidi" w:eastAsia="TimesNewRomanPSMT" w:hAnsiTheme="majorBidi" w:cstheme="majorBidi"/>
          <w:color w:val="000000" w:themeColor="text1"/>
          <w:sz w:val="24"/>
          <w:szCs w:val="24"/>
        </w:rPr>
        <w:t xml:space="preserve">. </w:t>
      </w:r>
      <w:proofErr w:type="gramStart"/>
      <w:r w:rsidRPr="00EB154D">
        <w:rPr>
          <w:rFonts w:asciiTheme="majorBidi" w:eastAsia="TimesNewRomanPSMT" w:hAnsiTheme="majorBidi" w:cstheme="majorBidi"/>
          <w:color w:val="000000" w:themeColor="text1"/>
          <w:sz w:val="24"/>
          <w:szCs w:val="24"/>
        </w:rPr>
        <w:t>This challenges</w:t>
      </w:r>
      <w:proofErr w:type="gramEnd"/>
      <w:r w:rsidRPr="00EB154D">
        <w:rPr>
          <w:rFonts w:asciiTheme="majorBidi" w:eastAsia="TimesNewRomanPSMT" w:hAnsiTheme="majorBidi" w:cstheme="majorBidi"/>
          <w:color w:val="000000" w:themeColor="text1"/>
          <w:sz w:val="24"/>
          <w:szCs w:val="24"/>
        </w:rPr>
        <w:t xml:space="preserve"> may lead to inadequate bone implant integration and without further support with anti-inflammatory and antibiotics and adjustment of loading forces may lead to failure </w:t>
      </w:r>
      <w:r w:rsidRPr="00EB154D">
        <w:rPr>
          <w:rFonts w:asciiTheme="majorBidi" w:eastAsia="TimesNewRomanPSMT" w:hAnsiTheme="majorBidi" w:cstheme="majorBidi"/>
          <w:color w:val="000000" w:themeColor="text1"/>
          <w:sz w:val="24"/>
          <w:szCs w:val="24"/>
        </w:rPr>
        <w:lastRenderedPageBreak/>
        <w:t>of osseointegration. However, the mechanism regulating the interaction between ROS and peri-implant environment with respect to producing ideal integration is poorly understood. Various molecular processes that int</w:t>
      </w:r>
      <w:r w:rsidR="00E67C52">
        <w:rPr>
          <w:rFonts w:asciiTheme="majorBidi" w:eastAsia="TimesNewRomanPSMT" w:hAnsiTheme="majorBidi" w:cstheme="majorBidi"/>
          <w:color w:val="000000" w:themeColor="text1"/>
          <w:sz w:val="24"/>
          <w:szCs w:val="24"/>
        </w:rPr>
        <w:t>e</w:t>
      </w:r>
      <w:r w:rsidRPr="00EB154D">
        <w:rPr>
          <w:rFonts w:asciiTheme="majorBidi" w:eastAsia="TimesNewRomanPSMT" w:hAnsiTheme="majorBidi" w:cstheme="majorBidi"/>
          <w:color w:val="000000" w:themeColor="text1"/>
          <w:sz w:val="24"/>
          <w:szCs w:val="24"/>
        </w:rPr>
        <w:t xml:space="preserve">ract with the biomaterial surface topography, peri-implant tissues, </w:t>
      </w:r>
      <w:proofErr w:type="gramStart"/>
      <w:r w:rsidRPr="00EB154D">
        <w:rPr>
          <w:rFonts w:asciiTheme="majorBidi" w:eastAsia="TimesNewRomanPSMT" w:hAnsiTheme="majorBidi" w:cstheme="majorBidi"/>
          <w:color w:val="000000" w:themeColor="text1"/>
          <w:sz w:val="24"/>
          <w:szCs w:val="24"/>
        </w:rPr>
        <w:t>angiogenesis</w:t>
      </w:r>
      <w:proofErr w:type="gramEnd"/>
      <w:r w:rsidRPr="00EB154D">
        <w:rPr>
          <w:rFonts w:asciiTheme="majorBidi" w:eastAsia="TimesNewRomanPSMT" w:hAnsiTheme="majorBidi" w:cstheme="majorBidi"/>
          <w:color w:val="000000" w:themeColor="text1"/>
          <w:sz w:val="24"/>
          <w:szCs w:val="24"/>
        </w:rPr>
        <w:t xml:space="preserve"> and antioxidants measures have been implicated in this systematic review.</w:t>
      </w:r>
    </w:p>
    <w:bookmarkEnd w:id="0"/>
    <w:p w14:paraId="52EF796A" w14:textId="4811C31B" w:rsidR="00914707" w:rsidRPr="007D5A73" w:rsidRDefault="00914707">
      <w:pPr>
        <w:rPr>
          <w:rFonts w:asciiTheme="majorBidi" w:hAnsiTheme="majorBidi" w:cstheme="majorBidi"/>
          <w:sz w:val="24"/>
          <w:szCs w:val="24"/>
        </w:rPr>
      </w:pPr>
    </w:p>
    <w:p w14:paraId="73CE98BC" w14:textId="4FE4B1F2" w:rsidR="00914707" w:rsidRPr="007D5A73" w:rsidRDefault="00BA43D4" w:rsidP="007D5A73">
      <w:pPr>
        <w:pStyle w:val="ListParagraph"/>
        <w:numPr>
          <w:ilvl w:val="0"/>
          <w:numId w:val="2"/>
        </w:numPr>
        <w:rPr>
          <w:rFonts w:asciiTheme="majorBidi" w:eastAsia="Times New Roman" w:hAnsiTheme="majorBidi" w:cstheme="majorBidi"/>
          <w:color w:val="484848"/>
          <w:sz w:val="24"/>
          <w:szCs w:val="24"/>
          <w:highlight w:val="green"/>
        </w:rPr>
      </w:pPr>
      <w:r w:rsidRPr="007D5A73">
        <w:rPr>
          <w:rFonts w:asciiTheme="majorBidi" w:eastAsia="Times New Roman" w:hAnsiTheme="majorBidi" w:cstheme="majorBidi"/>
          <w:color w:val="484848"/>
          <w:sz w:val="24"/>
          <w:szCs w:val="24"/>
          <w:highlight w:val="green"/>
        </w:rPr>
        <w:t xml:space="preserve">The contribution that it makes to knowledge </w:t>
      </w:r>
      <w:proofErr w:type="gramStart"/>
      <w:r w:rsidRPr="007D5A73">
        <w:rPr>
          <w:rFonts w:asciiTheme="majorBidi" w:eastAsia="Times New Roman" w:hAnsiTheme="majorBidi" w:cstheme="majorBidi"/>
          <w:color w:val="484848"/>
          <w:sz w:val="24"/>
          <w:szCs w:val="24"/>
          <w:highlight w:val="green"/>
        </w:rPr>
        <w:t>in light of</w:t>
      </w:r>
      <w:proofErr w:type="gramEnd"/>
      <w:r w:rsidRPr="007D5A73">
        <w:rPr>
          <w:rFonts w:asciiTheme="majorBidi" w:eastAsia="Times New Roman" w:hAnsiTheme="majorBidi" w:cstheme="majorBidi"/>
          <w:color w:val="484848"/>
          <w:sz w:val="24"/>
          <w:szCs w:val="24"/>
          <w:highlight w:val="green"/>
        </w:rPr>
        <w:t xml:space="preserve"> previously published related reports, including other systematic reviews</w:t>
      </w:r>
    </w:p>
    <w:p w14:paraId="75C1EB53" w14:textId="5997C71E" w:rsidR="00E67C52" w:rsidRPr="00E67C52" w:rsidRDefault="00E67C52" w:rsidP="00E67C52">
      <w:pPr>
        <w:spacing w:line="480" w:lineRule="auto"/>
        <w:jc w:val="both"/>
        <w:rPr>
          <w:rFonts w:asciiTheme="majorBidi" w:hAnsiTheme="majorBidi" w:cstheme="majorBidi"/>
          <w:sz w:val="24"/>
          <w:szCs w:val="24"/>
        </w:rPr>
      </w:pPr>
      <w:r w:rsidRPr="00E67C52">
        <w:rPr>
          <w:rFonts w:asciiTheme="majorBidi" w:hAnsiTheme="majorBidi" w:cstheme="majorBidi"/>
          <w:sz w:val="24"/>
          <w:szCs w:val="24"/>
        </w:rPr>
        <w:t>This article is a conventional systematic review paper and because of the heterogenicity of the results, we could not perform meta-analysis.</w:t>
      </w:r>
    </w:p>
    <w:p w14:paraId="10D60226" w14:textId="7AA08640" w:rsidR="00BA43D4" w:rsidRPr="007D5A73" w:rsidRDefault="00E67C52" w:rsidP="00E67C52">
      <w:pPr>
        <w:spacing w:line="480" w:lineRule="auto"/>
        <w:jc w:val="both"/>
        <w:rPr>
          <w:rFonts w:asciiTheme="majorBidi" w:hAnsiTheme="majorBidi" w:cstheme="majorBidi"/>
          <w:sz w:val="24"/>
          <w:szCs w:val="24"/>
        </w:rPr>
      </w:pPr>
      <w:r w:rsidRPr="00E67C52">
        <w:rPr>
          <w:rFonts w:asciiTheme="majorBidi" w:eastAsia="TimesNewRomanPSMT" w:hAnsiTheme="majorBidi" w:cstheme="majorBidi"/>
          <w:sz w:val="24"/>
          <w:szCs w:val="24"/>
        </w:rPr>
        <w:t>This systematic review was conducted with the standard regulations of Preferred Reporting Items for Systematic Reviews and Meta-Analysis (PRISMA) statement</w:t>
      </w:r>
      <w:r w:rsidRPr="00E67C52">
        <w:rPr>
          <w:rFonts w:asciiTheme="majorBidi" w:eastAsia="TimesNewRomanPSMT" w:hAnsiTheme="majorBidi" w:cstheme="majorBidi"/>
          <w:sz w:val="24"/>
          <w:szCs w:val="24"/>
        </w:rPr>
        <w:t>.</w:t>
      </w:r>
    </w:p>
    <w:p w14:paraId="724965F7" w14:textId="3809CE79" w:rsidR="00914707" w:rsidRPr="007D5A73" w:rsidRDefault="00914707" w:rsidP="00BA43D4">
      <w:pPr>
        <w:pStyle w:val="ListParagraph"/>
        <w:numPr>
          <w:ilvl w:val="0"/>
          <w:numId w:val="3"/>
        </w:numPr>
        <w:rPr>
          <w:rFonts w:asciiTheme="majorBidi" w:hAnsiTheme="majorBidi" w:cstheme="majorBidi"/>
          <w:sz w:val="24"/>
          <w:szCs w:val="24"/>
          <w:highlight w:val="green"/>
        </w:rPr>
      </w:pPr>
      <w:r w:rsidRPr="007D5A73">
        <w:rPr>
          <w:rFonts w:asciiTheme="majorBidi" w:hAnsiTheme="majorBidi" w:cstheme="majorBidi"/>
          <w:color w:val="484848"/>
          <w:sz w:val="24"/>
          <w:szCs w:val="24"/>
          <w:highlight w:val="green"/>
          <w:shd w:val="clear" w:color="auto" w:fill="E1F9EC"/>
        </w:rPr>
        <w:t>Please ensure that statistical tests are reported in accordance with our guidelines</w:t>
      </w:r>
    </w:p>
    <w:p w14:paraId="6C76B65A" w14:textId="091F5963" w:rsidR="00914707" w:rsidRPr="007D5A73" w:rsidRDefault="00914707">
      <w:pPr>
        <w:rPr>
          <w:rFonts w:asciiTheme="majorBidi" w:hAnsiTheme="majorBidi" w:cstheme="majorBidi"/>
          <w:sz w:val="24"/>
          <w:szCs w:val="24"/>
        </w:rPr>
      </w:pPr>
      <w:r w:rsidRPr="007D5A73">
        <w:rPr>
          <w:rFonts w:asciiTheme="majorBidi" w:hAnsiTheme="majorBidi" w:cstheme="majorBidi"/>
          <w:sz w:val="24"/>
          <w:szCs w:val="24"/>
        </w:rPr>
        <w:t>This systematic review lacking any statistical analysis because it is not meta-analysis.</w:t>
      </w:r>
    </w:p>
    <w:sectPr w:rsidR="00914707" w:rsidRPr="007D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D60C4"/>
    <w:multiLevelType w:val="hybridMultilevel"/>
    <w:tmpl w:val="C302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51958"/>
    <w:multiLevelType w:val="multilevel"/>
    <w:tmpl w:val="DA46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17BE6"/>
    <w:multiLevelType w:val="hybridMultilevel"/>
    <w:tmpl w:val="68E6C958"/>
    <w:lvl w:ilvl="0" w:tplc="517C85FA">
      <w:start w:val="3"/>
      <w:numFmt w:val="decimal"/>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36"/>
    <w:rsid w:val="000001CF"/>
    <w:rsid w:val="0000027A"/>
    <w:rsid w:val="000023F0"/>
    <w:rsid w:val="000037F2"/>
    <w:rsid w:val="0001779C"/>
    <w:rsid w:val="00022263"/>
    <w:rsid w:val="00022FE8"/>
    <w:rsid w:val="0002337E"/>
    <w:rsid w:val="00030955"/>
    <w:rsid w:val="00031726"/>
    <w:rsid w:val="00031C1C"/>
    <w:rsid w:val="00034738"/>
    <w:rsid w:val="00035F25"/>
    <w:rsid w:val="00041AB6"/>
    <w:rsid w:val="00044BDD"/>
    <w:rsid w:val="000460E5"/>
    <w:rsid w:val="00046775"/>
    <w:rsid w:val="00055E7B"/>
    <w:rsid w:val="00066EAA"/>
    <w:rsid w:val="0006743D"/>
    <w:rsid w:val="000676F5"/>
    <w:rsid w:val="00067A4E"/>
    <w:rsid w:val="00087CE7"/>
    <w:rsid w:val="00092E29"/>
    <w:rsid w:val="0009491F"/>
    <w:rsid w:val="00095F83"/>
    <w:rsid w:val="000A306D"/>
    <w:rsid w:val="000A44DD"/>
    <w:rsid w:val="000A764C"/>
    <w:rsid w:val="000B1DD7"/>
    <w:rsid w:val="000B2AB2"/>
    <w:rsid w:val="000B4E7C"/>
    <w:rsid w:val="000B5CC4"/>
    <w:rsid w:val="000B766F"/>
    <w:rsid w:val="000C53E6"/>
    <w:rsid w:val="000C6413"/>
    <w:rsid w:val="000E721B"/>
    <w:rsid w:val="000F5CE3"/>
    <w:rsid w:val="00101219"/>
    <w:rsid w:val="00107E38"/>
    <w:rsid w:val="00113048"/>
    <w:rsid w:val="0011317F"/>
    <w:rsid w:val="001268D1"/>
    <w:rsid w:val="00135A1A"/>
    <w:rsid w:val="0013626F"/>
    <w:rsid w:val="00141888"/>
    <w:rsid w:val="001426A1"/>
    <w:rsid w:val="00143994"/>
    <w:rsid w:val="001439F3"/>
    <w:rsid w:val="00145F89"/>
    <w:rsid w:val="001471EB"/>
    <w:rsid w:val="0015256F"/>
    <w:rsid w:val="00153C66"/>
    <w:rsid w:val="00166F45"/>
    <w:rsid w:val="00176851"/>
    <w:rsid w:val="00187C06"/>
    <w:rsid w:val="00190410"/>
    <w:rsid w:val="001907BB"/>
    <w:rsid w:val="00190976"/>
    <w:rsid w:val="0019175A"/>
    <w:rsid w:val="001A1BCA"/>
    <w:rsid w:val="001A22C7"/>
    <w:rsid w:val="001B797C"/>
    <w:rsid w:val="001C0D98"/>
    <w:rsid w:val="001D5861"/>
    <w:rsid w:val="001D6BEC"/>
    <w:rsid w:val="001D6E80"/>
    <w:rsid w:val="001D6EFB"/>
    <w:rsid w:val="001D7113"/>
    <w:rsid w:val="001E0FE5"/>
    <w:rsid w:val="001E1493"/>
    <w:rsid w:val="001E7F13"/>
    <w:rsid w:val="001F03F9"/>
    <w:rsid w:val="001F0993"/>
    <w:rsid w:val="001F459F"/>
    <w:rsid w:val="002043E3"/>
    <w:rsid w:val="00205402"/>
    <w:rsid w:val="00205822"/>
    <w:rsid w:val="00206201"/>
    <w:rsid w:val="00223477"/>
    <w:rsid w:val="00227F81"/>
    <w:rsid w:val="0023012D"/>
    <w:rsid w:val="00232F33"/>
    <w:rsid w:val="00234A52"/>
    <w:rsid w:val="00236752"/>
    <w:rsid w:val="002431B5"/>
    <w:rsid w:val="00252210"/>
    <w:rsid w:val="002541FA"/>
    <w:rsid w:val="0025771E"/>
    <w:rsid w:val="00261B0C"/>
    <w:rsid w:val="00266170"/>
    <w:rsid w:val="0027022B"/>
    <w:rsid w:val="00275392"/>
    <w:rsid w:val="00282344"/>
    <w:rsid w:val="00282D3F"/>
    <w:rsid w:val="0028472E"/>
    <w:rsid w:val="00285D7A"/>
    <w:rsid w:val="00286C2F"/>
    <w:rsid w:val="002946F0"/>
    <w:rsid w:val="002A34CC"/>
    <w:rsid w:val="002A48ED"/>
    <w:rsid w:val="002A7822"/>
    <w:rsid w:val="002B57B3"/>
    <w:rsid w:val="002C045F"/>
    <w:rsid w:val="002C10A9"/>
    <w:rsid w:val="002C460A"/>
    <w:rsid w:val="002F1884"/>
    <w:rsid w:val="002F7E7C"/>
    <w:rsid w:val="0031309D"/>
    <w:rsid w:val="0031583A"/>
    <w:rsid w:val="003165C1"/>
    <w:rsid w:val="003202CE"/>
    <w:rsid w:val="00324951"/>
    <w:rsid w:val="003321DE"/>
    <w:rsid w:val="003329BF"/>
    <w:rsid w:val="003351A0"/>
    <w:rsid w:val="00337DA0"/>
    <w:rsid w:val="00352EB6"/>
    <w:rsid w:val="00357CD4"/>
    <w:rsid w:val="0036052B"/>
    <w:rsid w:val="00362C8D"/>
    <w:rsid w:val="003703C2"/>
    <w:rsid w:val="003751DF"/>
    <w:rsid w:val="00375BD7"/>
    <w:rsid w:val="0038136D"/>
    <w:rsid w:val="00385A95"/>
    <w:rsid w:val="00391EC4"/>
    <w:rsid w:val="00395210"/>
    <w:rsid w:val="003A614D"/>
    <w:rsid w:val="003B6E4B"/>
    <w:rsid w:val="003B7F64"/>
    <w:rsid w:val="003D3E3B"/>
    <w:rsid w:val="003D7AB6"/>
    <w:rsid w:val="003E2077"/>
    <w:rsid w:val="003E3A21"/>
    <w:rsid w:val="003E455E"/>
    <w:rsid w:val="003F06A8"/>
    <w:rsid w:val="003F1D69"/>
    <w:rsid w:val="003F372B"/>
    <w:rsid w:val="003F5BCE"/>
    <w:rsid w:val="004011A9"/>
    <w:rsid w:val="00401CB0"/>
    <w:rsid w:val="0040254E"/>
    <w:rsid w:val="00411412"/>
    <w:rsid w:val="004160E8"/>
    <w:rsid w:val="004165CE"/>
    <w:rsid w:val="0041684E"/>
    <w:rsid w:val="0042252F"/>
    <w:rsid w:val="0042461E"/>
    <w:rsid w:val="00425267"/>
    <w:rsid w:val="00434C42"/>
    <w:rsid w:val="00441259"/>
    <w:rsid w:val="00442743"/>
    <w:rsid w:val="00445ED5"/>
    <w:rsid w:val="00447601"/>
    <w:rsid w:val="0045578F"/>
    <w:rsid w:val="0045742E"/>
    <w:rsid w:val="004622B2"/>
    <w:rsid w:val="00463017"/>
    <w:rsid w:val="0046458B"/>
    <w:rsid w:val="00474347"/>
    <w:rsid w:val="00474A50"/>
    <w:rsid w:val="00474CDA"/>
    <w:rsid w:val="00476445"/>
    <w:rsid w:val="00476BAD"/>
    <w:rsid w:val="004869CE"/>
    <w:rsid w:val="00491D68"/>
    <w:rsid w:val="004942EB"/>
    <w:rsid w:val="00497F61"/>
    <w:rsid w:val="004A1058"/>
    <w:rsid w:val="004A5D01"/>
    <w:rsid w:val="004B1D6F"/>
    <w:rsid w:val="004C2C08"/>
    <w:rsid w:val="004E1531"/>
    <w:rsid w:val="005068AD"/>
    <w:rsid w:val="0051358A"/>
    <w:rsid w:val="005142B3"/>
    <w:rsid w:val="005200B9"/>
    <w:rsid w:val="00521435"/>
    <w:rsid w:val="005216E3"/>
    <w:rsid w:val="00525633"/>
    <w:rsid w:val="00533AF3"/>
    <w:rsid w:val="00541C26"/>
    <w:rsid w:val="00544523"/>
    <w:rsid w:val="00545BB4"/>
    <w:rsid w:val="00554434"/>
    <w:rsid w:val="00554445"/>
    <w:rsid w:val="0056244F"/>
    <w:rsid w:val="0056603D"/>
    <w:rsid w:val="00567379"/>
    <w:rsid w:val="00570E82"/>
    <w:rsid w:val="00573908"/>
    <w:rsid w:val="00587612"/>
    <w:rsid w:val="00592812"/>
    <w:rsid w:val="00597C53"/>
    <w:rsid w:val="005A29AB"/>
    <w:rsid w:val="005B2891"/>
    <w:rsid w:val="005B6DD2"/>
    <w:rsid w:val="005C0FF6"/>
    <w:rsid w:val="005C7BA8"/>
    <w:rsid w:val="005D47F2"/>
    <w:rsid w:val="005D60E9"/>
    <w:rsid w:val="005D651A"/>
    <w:rsid w:val="005E2FAC"/>
    <w:rsid w:val="005E6B67"/>
    <w:rsid w:val="005F3CC6"/>
    <w:rsid w:val="005F7EBF"/>
    <w:rsid w:val="0060063A"/>
    <w:rsid w:val="006038CA"/>
    <w:rsid w:val="00605D7D"/>
    <w:rsid w:val="00610156"/>
    <w:rsid w:val="0061367D"/>
    <w:rsid w:val="0062097A"/>
    <w:rsid w:val="0062754B"/>
    <w:rsid w:val="00635F1B"/>
    <w:rsid w:val="00640496"/>
    <w:rsid w:val="006519B4"/>
    <w:rsid w:val="006520E0"/>
    <w:rsid w:val="006651C3"/>
    <w:rsid w:val="00672C5D"/>
    <w:rsid w:val="0068202D"/>
    <w:rsid w:val="00682171"/>
    <w:rsid w:val="00685237"/>
    <w:rsid w:val="006866A5"/>
    <w:rsid w:val="00692D0B"/>
    <w:rsid w:val="00694BCC"/>
    <w:rsid w:val="0069533C"/>
    <w:rsid w:val="00697ECC"/>
    <w:rsid w:val="006A10AA"/>
    <w:rsid w:val="006A2CD3"/>
    <w:rsid w:val="006B0D0E"/>
    <w:rsid w:val="006B3CE9"/>
    <w:rsid w:val="006D4D2D"/>
    <w:rsid w:val="006D6CFE"/>
    <w:rsid w:val="006E0644"/>
    <w:rsid w:val="006E5484"/>
    <w:rsid w:val="006E5DFB"/>
    <w:rsid w:val="006F3715"/>
    <w:rsid w:val="006F415A"/>
    <w:rsid w:val="006F757B"/>
    <w:rsid w:val="0070549D"/>
    <w:rsid w:val="00710CDA"/>
    <w:rsid w:val="007142F8"/>
    <w:rsid w:val="007153C1"/>
    <w:rsid w:val="00720BBB"/>
    <w:rsid w:val="0072212F"/>
    <w:rsid w:val="0072231B"/>
    <w:rsid w:val="00723388"/>
    <w:rsid w:val="007260A4"/>
    <w:rsid w:val="007268EB"/>
    <w:rsid w:val="0073776D"/>
    <w:rsid w:val="00743F8F"/>
    <w:rsid w:val="007448DF"/>
    <w:rsid w:val="00745D90"/>
    <w:rsid w:val="007471C3"/>
    <w:rsid w:val="00754539"/>
    <w:rsid w:val="007548D5"/>
    <w:rsid w:val="00761E91"/>
    <w:rsid w:val="0076776F"/>
    <w:rsid w:val="00770B77"/>
    <w:rsid w:val="00771678"/>
    <w:rsid w:val="007720A6"/>
    <w:rsid w:val="00772DA0"/>
    <w:rsid w:val="00793E91"/>
    <w:rsid w:val="0079420E"/>
    <w:rsid w:val="00794925"/>
    <w:rsid w:val="0079540A"/>
    <w:rsid w:val="0079653C"/>
    <w:rsid w:val="007A3FF2"/>
    <w:rsid w:val="007B2636"/>
    <w:rsid w:val="007B5F41"/>
    <w:rsid w:val="007D009B"/>
    <w:rsid w:val="007D0901"/>
    <w:rsid w:val="007D2FF2"/>
    <w:rsid w:val="007D4708"/>
    <w:rsid w:val="007D4D0E"/>
    <w:rsid w:val="007D5A32"/>
    <w:rsid w:val="007D5A73"/>
    <w:rsid w:val="007D6BD9"/>
    <w:rsid w:val="007E32F2"/>
    <w:rsid w:val="007E78FF"/>
    <w:rsid w:val="007F0B75"/>
    <w:rsid w:val="007F1070"/>
    <w:rsid w:val="007F4792"/>
    <w:rsid w:val="007F5614"/>
    <w:rsid w:val="008019EA"/>
    <w:rsid w:val="0080555E"/>
    <w:rsid w:val="0080635A"/>
    <w:rsid w:val="00816B4A"/>
    <w:rsid w:val="008218A3"/>
    <w:rsid w:val="0082600C"/>
    <w:rsid w:val="008269BB"/>
    <w:rsid w:val="00830BA6"/>
    <w:rsid w:val="00831790"/>
    <w:rsid w:val="00831F51"/>
    <w:rsid w:val="0083223D"/>
    <w:rsid w:val="0083461F"/>
    <w:rsid w:val="00835F0B"/>
    <w:rsid w:val="00840E5A"/>
    <w:rsid w:val="0084743A"/>
    <w:rsid w:val="00854F74"/>
    <w:rsid w:val="008635CB"/>
    <w:rsid w:val="008841E3"/>
    <w:rsid w:val="00887C54"/>
    <w:rsid w:val="00887EF3"/>
    <w:rsid w:val="00891B7A"/>
    <w:rsid w:val="0089451C"/>
    <w:rsid w:val="008A0F9F"/>
    <w:rsid w:val="008A5D43"/>
    <w:rsid w:val="008C1119"/>
    <w:rsid w:val="008C1DFD"/>
    <w:rsid w:val="008C225E"/>
    <w:rsid w:val="008C2730"/>
    <w:rsid w:val="008D134F"/>
    <w:rsid w:val="008E0192"/>
    <w:rsid w:val="008E302B"/>
    <w:rsid w:val="008E6F2A"/>
    <w:rsid w:val="008E715E"/>
    <w:rsid w:val="00900E71"/>
    <w:rsid w:val="009035DC"/>
    <w:rsid w:val="009041C9"/>
    <w:rsid w:val="009067A2"/>
    <w:rsid w:val="00913814"/>
    <w:rsid w:val="00914707"/>
    <w:rsid w:val="00920A4A"/>
    <w:rsid w:val="00924FEE"/>
    <w:rsid w:val="009251A1"/>
    <w:rsid w:val="00930A00"/>
    <w:rsid w:val="00935936"/>
    <w:rsid w:val="009368FD"/>
    <w:rsid w:val="009436AB"/>
    <w:rsid w:val="00960209"/>
    <w:rsid w:val="00963F7B"/>
    <w:rsid w:val="0096452B"/>
    <w:rsid w:val="009678B7"/>
    <w:rsid w:val="00976E42"/>
    <w:rsid w:val="009824AB"/>
    <w:rsid w:val="009928FC"/>
    <w:rsid w:val="009949EA"/>
    <w:rsid w:val="009A1492"/>
    <w:rsid w:val="009A1B3B"/>
    <w:rsid w:val="009B3172"/>
    <w:rsid w:val="009B71F5"/>
    <w:rsid w:val="009C15AF"/>
    <w:rsid w:val="009C67C5"/>
    <w:rsid w:val="009D090D"/>
    <w:rsid w:val="009D1AAA"/>
    <w:rsid w:val="009E3580"/>
    <w:rsid w:val="009E5B45"/>
    <w:rsid w:val="00A02EF1"/>
    <w:rsid w:val="00A05D14"/>
    <w:rsid w:val="00A16B6A"/>
    <w:rsid w:val="00A21FA7"/>
    <w:rsid w:val="00A2331E"/>
    <w:rsid w:val="00A237FA"/>
    <w:rsid w:val="00A3597B"/>
    <w:rsid w:val="00A3736E"/>
    <w:rsid w:val="00A41D38"/>
    <w:rsid w:val="00A46F7B"/>
    <w:rsid w:val="00A547AC"/>
    <w:rsid w:val="00A57980"/>
    <w:rsid w:val="00A6786B"/>
    <w:rsid w:val="00A80EC2"/>
    <w:rsid w:val="00A82F9B"/>
    <w:rsid w:val="00A83143"/>
    <w:rsid w:val="00A8338D"/>
    <w:rsid w:val="00A874FF"/>
    <w:rsid w:val="00A93B00"/>
    <w:rsid w:val="00A95AC2"/>
    <w:rsid w:val="00A96506"/>
    <w:rsid w:val="00AA1655"/>
    <w:rsid w:val="00AC27CB"/>
    <w:rsid w:val="00AC5650"/>
    <w:rsid w:val="00AD642F"/>
    <w:rsid w:val="00AD690A"/>
    <w:rsid w:val="00AD7F3F"/>
    <w:rsid w:val="00AE6DAD"/>
    <w:rsid w:val="00AE6E4B"/>
    <w:rsid w:val="00AF253E"/>
    <w:rsid w:val="00AF4B81"/>
    <w:rsid w:val="00B152E1"/>
    <w:rsid w:val="00B1664D"/>
    <w:rsid w:val="00B2129E"/>
    <w:rsid w:val="00B21439"/>
    <w:rsid w:val="00B25882"/>
    <w:rsid w:val="00B25C0D"/>
    <w:rsid w:val="00B268A7"/>
    <w:rsid w:val="00B27113"/>
    <w:rsid w:val="00B274F6"/>
    <w:rsid w:val="00B33D2C"/>
    <w:rsid w:val="00B36E0D"/>
    <w:rsid w:val="00B50A94"/>
    <w:rsid w:val="00B55E04"/>
    <w:rsid w:val="00B714D9"/>
    <w:rsid w:val="00B71CA5"/>
    <w:rsid w:val="00B74D4A"/>
    <w:rsid w:val="00B7556A"/>
    <w:rsid w:val="00B80B69"/>
    <w:rsid w:val="00B915AC"/>
    <w:rsid w:val="00B97959"/>
    <w:rsid w:val="00BA13E2"/>
    <w:rsid w:val="00BA182D"/>
    <w:rsid w:val="00BA43D4"/>
    <w:rsid w:val="00BA4F11"/>
    <w:rsid w:val="00BB0CF2"/>
    <w:rsid w:val="00BB0DDE"/>
    <w:rsid w:val="00BB39B0"/>
    <w:rsid w:val="00BB3CA2"/>
    <w:rsid w:val="00BB44A9"/>
    <w:rsid w:val="00BB4D01"/>
    <w:rsid w:val="00BD0923"/>
    <w:rsid w:val="00BD142D"/>
    <w:rsid w:val="00BD17F4"/>
    <w:rsid w:val="00BD4E74"/>
    <w:rsid w:val="00BD743D"/>
    <w:rsid w:val="00BD769C"/>
    <w:rsid w:val="00BE768F"/>
    <w:rsid w:val="00C02AA8"/>
    <w:rsid w:val="00C038D7"/>
    <w:rsid w:val="00C03A26"/>
    <w:rsid w:val="00C12F51"/>
    <w:rsid w:val="00C1400E"/>
    <w:rsid w:val="00C23ECB"/>
    <w:rsid w:val="00C24690"/>
    <w:rsid w:val="00C24C73"/>
    <w:rsid w:val="00C318F4"/>
    <w:rsid w:val="00C32267"/>
    <w:rsid w:val="00C35BE4"/>
    <w:rsid w:val="00C40736"/>
    <w:rsid w:val="00C57167"/>
    <w:rsid w:val="00C65C87"/>
    <w:rsid w:val="00C72B81"/>
    <w:rsid w:val="00C80748"/>
    <w:rsid w:val="00C83155"/>
    <w:rsid w:val="00C83F5E"/>
    <w:rsid w:val="00C938A4"/>
    <w:rsid w:val="00C97236"/>
    <w:rsid w:val="00CA01B4"/>
    <w:rsid w:val="00CA05DB"/>
    <w:rsid w:val="00CA08CE"/>
    <w:rsid w:val="00CC1E40"/>
    <w:rsid w:val="00CD028E"/>
    <w:rsid w:val="00CD2327"/>
    <w:rsid w:val="00CD74D2"/>
    <w:rsid w:val="00CE4809"/>
    <w:rsid w:val="00CF00DE"/>
    <w:rsid w:val="00CF0366"/>
    <w:rsid w:val="00CF1800"/>
    <w:rsid w:val="00CF1BF1"/>
    <w:rsid w:val="00CF40E6"/>
    <w:rsid w:val="00D0021D"/>
    <w:rsid w:val="00D0395E"/>
    <w:rsid w:val="00D0669E"/>
    <w:rsid w:val="00D16E75"/>
    <w:rsid w:val="00D27907"/>
    <w:rsid w:val="00D320D9"/>
    <w:rsid w:val="00D33002"/>
    <w:rsid w:val="00D45B04"/>
    <w:rsid w:val="00D51AAF"/>
    <w:rsid w:val="00D706E7"/>
    <w:rsid w:val="00D80BE1"/>
    <w:rsid w:val="00D816C5"/>
    <w:rsid w:val="00D841AF"/>
    <w:rsid w:val="00D85AA3"/>
    <w:rsid w:val="00D86CE8"/>
    <w:rsid w:val="00D934BE"/>
    <w:rsid w:val="00D95333"/>
    <w:rsid w:val="00D977F7"/>
    <w:rsid w:val="00DB46CD"/>
    <w:rsid w:val="00DB550C"/>
    <w:rsid w:val="00DC066F"/>
    <w:rsid w:val="00DC4533"/>
    <w:rsid w:val="00DC6CD3"/>
    <w:rsid w:val="00DD0347"/>
    <w:rsid w:val="00DD0452"/>
    <w:rsid w:val="00DD543E"/>
    <w:rsid w:val="00DE0A65"/>
    <w:rsid w:val="00DE1879"/>
    <w:rsid w:val="00DE50A9"/>
    <w:rsid w:val="00DF1FFD"/>
    <w:rsid w:val="00DF3082"/>
    <w:rsid w:val="00DF7C36"/>
    <w:rsid w:val="00E12DB8"/>
    <w:rsid w:val="00E13136"/>
    <w:rsid w:val="00E13154"/>
    <w:rsid w:val="00E13956"/>
    <w:rsid w:val="00E162EF"/>
    <w:rsid w:val="00E16AD9"/>
    <w:rsid w:val="00E413A3"/>
    <w:rsid w:val="00E43E36"/>
    <w:rsid w:val="00E546F9"/>
    <w:rsid w:val="00E6353A"/>
    <w:rsid w:val="00E65B26"/>
    <w:rsid w:val="00E66552"/>
    <w:rsid w:val="00E67C52"/>
    <w:rsid w:val="00E72AD8"/>
    <w:rsid w:val="00E76270"/>
    <w:rsid w:val="00E80C97"/>
    <w:rsid w:val="00E81276"/>
    <w:rsid w:val="00E8200A"/>
    <w:rsid w:val="00E83FF7"/>
    <w:rsid w:val="00E87F3E"/>
    <w:rsid w:val="00E9036B"/>
    <w:rsid w:val="00E9062C"/>
    <w:rsid w:val="00E92E8E"/>
    <w:rsid w:val="00E947C8"/>
    <w:rsid w:val="00E97D61"/>
    <w:rsid w:val="00EA13F3"/>
    <w:rsid w:val="00EA1972"/>
    <w:rsid w:val="00EA1E71"/>
    <w:rsid w:val="00EC2C5E"/>
    <w:rsid w:val="00EE1278"/>
    <w:rsid w:val="00EE59CB"/>
    <w:rsid w:val="00EE5DB7"/>
    <w:rsid w:val="00EF21BE"/>
    <w:rsid w:val="00EF3771"/>
    <w:rsid w:val="00EF7826"/>
    <w:rsid w:val="00F05249"/>
    <w:rsid w:val="00F1090D"/>
    <w:rsid w:val="00F1117D"/>
    <w:rsid w:val="00F146C9"/>
    <w:rsid w:val="00F152F4"/>
    <w:rsid w:val="00F15738"/>
    <w:rsid w:val="00F16B21"/>
    <w:rsid w:val="00F25738"/>
    <w:rsid w:val="00F3622E"/>
    <w:rsid w:val="00F37101"/>
    <w:rsid w:val="00F40D19"/>
    <w:rsid w:val="00F46BA1"/>
    <w:rsid w:val="00F520D2"/>
    <w:rsid w:val="00F53BC1"/>
    <w:rsid w:val="00F62E60"/>
    <w:rsid w:val="00F75924"/>
    <w:rsid w:val="00F8402C"/>
    <w:rsid w:val="00F87CC8"/>
    <w:rsid w:val="00F91E0F"/>
    <w:rsid w:val="00F943A6"/>
    <w:rsid w:val="00F94575"/>
    <w:rsid w:val="00F97C2C"/>
    <w:rsid w:val="00FA3C8D"/>
    <w:rsid w:val="00FA3D0A"/>
    <w:rsid w:val="00FA42A0"/>
    <w:rsid w:val="00FB39D9"/>
    <w:rsid w:val="00FC3194"/>
    <w:rsid w:val="00FC691B"/>
    <w:rsid w:val="00FD1B72"/>
    <w:rsid w:val="00FD28C4"/>
    <w:rsid w:val="00FD655C"/>
    <w:rsid w:val="00FE2210"/>
    <w:rsid w:val="00FE390B"/>
    <w:rsid w:val="00FF200D"/>
    <w:rsid w:val="00FF32AA"/>
    <w:rsid w:val="00FF4FAB"/>
    <w:rsid w:val="00FF5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6F54"/>
  <w15:chartTrackingRefBased/>
  <w15:docId w15:val="{066F38E2-836B-40F1-A70A-F986EC63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47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7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4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4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57528">
      <w:bodyDiv w:val="1"/>
      <w:marLeft w:val="0"/>
      <w:marRight w:val="0"/>
      <w:marTop w:val="0"/>
      <w:marBottom w:val="0"/>
      <w:divBdr>
        <w:top w:val="none" w:sz="0" w:space="0" w:color="auto"/>
        <w:left w:val="none" w:sz="0" w:space="0" w:color="auto"/>
        <w:bottom w:val="none" w:sz="0" w:space="0" w:color="auto"/>
        <w:right w:val="none" w:sz="0" w:space="0" w:color="auto"/>
      </w:divBdr>
    </w:div>
    <w:div w:id="161895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Elaf Akram Al Zubaidi</dc:creator>
  <cp:keywords/>
  <dc:description/>
  <cp:lastModifiedBy>Elaf Akram Al Zubaidi</cp:lastModifiedBy>
  <cp:revision>2</cp:revision>
  <dcterms:created xsi:type="dcterms:W3CDTF">2021-10-28T10:18:00Z</dcterms:created>
  <dcterms:modified xsi:type="dcterms:W3CDTF">2021-10-28T10:18:00Z</dcterms:modified>
</cp:coreProperties>
</file>