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87" w:rsidRDefault="00B76387" w:rsidP="00B76387">
      <w:pPr>
        <w:pStyle w:val="Caption"/>
        <w:keepNext/>
      </w:pPr>
      <w:bookmarkStart w:id="0" w:name="_Ref16346829"/>
      <w:r>
        <w:t xml:space="preserve">Supplementary </w:t>
      </w: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: Pollen grains deposited by insect taxa visiting female kiwifruit cultivar </w:t>
      </w:r>
      <w:proofErr w:type="spellStart"/>
      <w:r>
        <w:t>Actinidia</w:t>
      </w:r>
      <w:proofErr w:type="spellEnd"/>
      <w:r>
        <w:t xml:space="preserve"> </w:t>
      </w:r>
      <w:proofErr w:type="spellStart"/>
      <w:r>
        <w:t>chinensis</w:t>
      </w:r>
      <w:proofErr w:type="spellEnd"/>
      <w:r>
        <w:t xml:space="preserve"> var. </w:t>
      </w:r>
      <w:proofErr w:type="spellStart"/>
      <w:r>
        <w:t>deliciosa</w:t>
      </w:r>
      <w:proofErr w:type="spellEnd"/>
      <w:r>
        <w:t xml:space="preserve"> ‘Hayward’ flowers after foraging on either male or female flowers. Control flowers were held near male or female flowers between 2013 and 2015. Values are means </w:t>
      </w:r>
      <w:r w:rsidRPr="007435B6">
        <w:rPr>
          <w:rFonts w:cstheme="minorHAnsi"/>
          <w:lang w:val="en-US"/>
        </w:rPr>
        <w:t>±</w:t>
      </w:r>
      <w:r>
        <w:rPr>
          <w:rFonts w:cstheme="minorHAnsi"/>
          <w:lang w:val="en-US"/>
        </w:rPr>
        <w:t xml:space="preserve"> standard error (SE); values with no SE are single observations. </w:t>
      </w:r>
      <w:r>
        <w:t>Letters are b</w:t>
      </w:r>
      <w:r w:rsidRPr="004D5D32">
        <w:t>ased on</w:t>
      </w:r>
      <w:r>
        <w:t xml:space="preserve"> the</w:t>
      </w:r>
      <w:r w:rsidRPr="004D5D32">
        <w:t xml:space="preserve"> Dunn test for </w:t>
      </w:r>
      <w:r w:rsidRPr="003B0574">
        <w:t>male to female</w:t>
      </w:r>
      <w:r>
        <w:t xml:space="preserve"> pollen transfer for insects with &gt; 5 observations.</w:t>
      </w:r>
    </w:p>
    <w:tbl>
      <w:tblPr>
        <w:tblStyle w:val="PlainTable2"/>
        <w:tblW w:w="9162" w:type="dxa"/>
        <w:tblLook w:val="04A0" w:firstRow="1" w:lastRow="0" w:firstColumn="1" w:lastColumn="0" w:noHBand="0" w:noVBand="1"/>
      </w:tblPr>
      <w:tblGrid>
        <w:gridCol w:w="2972"/>
        <w:gridCol w:w="551"/>
        <w:gridCol w:w="960"/>
        <w:gridCol w:w="1844"/>
        <w:gridCol w:w="1843"/>
        <w:gridCol w:w="992"/>
      </w:tblGrid>
      <w:tr w:rsidR="00B76387" w:rsidRPr="00C746AE" w:rsidTr="005B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C746AE" w:rsidRDefault="00B76387" w:rsidP="005B6003">
            <w:pPr>
              <w:keepNext/>
              <w:tabs>
                <w:tab w:val="center" w:pos="1378"/>
              </w:tabs>
            </w:pPr>
            <w:r w:rsidRPr="00C746AE">
              <w:t>Insect</w:t>
            </w:r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46AE">
              <w:t>n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46AE">
              <w:t>without</w:t>
            </w:r>
          </w:p>
          <w:p w:rsidR="00B76387" w:rsidRPr="00C746AE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46AE">
              <w:t>pollen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46AE">
              <w:t xml:space="preserve">male </w:t>
            </w:r>
            <w:r w:rsidRPr="00B71C0F">
              <w:sym w:font="Symbol" w:char="F0AE"/>
            </w:r>
            <w:r w:rsidRPr="00C746AE">
              <w:t xml:space="preserve"> female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46AE">
              <w:t xml:space="preserve">female </w:t>
            </w:r>
            <w:r w:rsidRPr="00B71C0F">
              <w:sym w:font="Symbol" w:char="F0AE"/>
            </w:r>
            <w:r w:rsidRPr="00C746AE">
              <w:t xml:space="preserve"> </w:t>
            </w:r>
            <w:proofErr w:type="spellStart"/>
            <w:r w:rsidRPr="00C746AE">
              <w:t>female</w:t>
            </w:r>
            <w:proofErr w:type="spellEnd"/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</w:pPr>
            <w:r w:rsidRPr="00AA7221">
              <w:t>Hymenoptera</w:t>
            </w:r>
          </w:p>
        </w:tc>
        <w:tc>
          <w:tcPr>
            <w:tcW w:w="551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4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Apis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mellifera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224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37.5%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15</w:t>
            </w:r>
            <w:r>
              <w:t>,</w:t>
            </w:r>
            <w:r w:rsidRPr="00E9596B">
              <w:t>552 ± 4</w:t>
            </w:r>
            <w:r>
              <w:t>,</w:t>
            </w:r>
            <w:r w:rsidRPr="00E9596B">
              <w:t>428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924 ± 153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9596B">
              <w:t>ab</w:t>
            </w:r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Bombus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hortorum</w:t>
            </w:r>
            <w:proofErr w:type="spellEnd"/>
            <w:r w:rsidRPr="00AA7221">
              <w:rPr>
                <w:b w:val="0"/>
                <w:i/>
              </w:rPr>
              <w:t>/</w:t>
            </w:r>
            <w:proofErr w:type="spellStart"/>
            <w:r w:rsidRPr="00AA7221">
              <w:rPr>
                <w:b w:val="0"/>
                <w:i/>
              </w:rPr>
              <w:t>ruderatus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17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11.8%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26</w:t>
            </w:r>
            <w:r>
              <w:t>,</w:t>
            </w:r>
            <w:r w:rsidRPr="00E9596B">
              <w:t>381 ± 13</w:t>
            </w:r>
            <w:r>
              <w:t>,</w:t>
            </w:r>
            <w:r w:rsidRPr="00E9596B">
              <w:t>889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9596B">
              <w:t>a</w:t>
            </w:r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Bombus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terrestris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31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22.6%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10</w:t>
            </w:r>
            <w:r>
              <w:t>,</w:t>
            </w:r>
            <w:r w:rsidRPr="00E9596B">
              <w:t>407 ± 2</w:t>
            </w:r>
            <w:r>
              <w:t>,</w:t>
            </w:r>
            <w:r w:rsidRPr="00E9596B">
              <w:t>815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4</w:t>
            </w:r>
            <w:r>
              <w:t>,</w:t>
            </w:r>
            <w:r w:rsidRPr="00E9596B">
              <w:t>834 ± 3</w:t>
            </w:r>
            <w:r>
              <w:t>,</w:t>
            </w:r>
            <w:r w:rsidRPr="00E9596B">
              <w:t>442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9596B">
              <w:t>a</w:t>
            </w:r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Lasioglossum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r w:rsidRPr="00AA7221">
              <w:rPr>
                <w:b w:val="0"/>
              </w:rPr>
              <w:t>spp.</w:t>
            </w:r>
          </w:p>
        </w:tc>
        <w:tc>
          <w:tcPr>
            <w:tcW w:w="551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24</w:t>
            </w:r>
          </w:p>
        </w:tc>
        <w:tc>
          <w:tcPr>
            <w:tcW w:w="960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41.7%</w:t>
            </w:r>
          </w:p>
        </w:tc>
        <w:tc>
          <w:tcPr>
            <w:tcW w:w="1844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1</w:t>
            </w:r>
            <w:r>
              <w:t>,</w:t>
            </w:r>
            <w:r w:rsidRPr="00E9596B">
              <w:t>955 ± 813</w:t>
            </w:r>
          </w:p>
        </w:tc>
        <w:tc>
          <w:tcPr>
            <w:tcW w:w="1843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596B">
              <w:t>abc</w:t>
            </w:r>
            <w:proofErr w:type="spellEnd"/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Leioproctus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r w:rsidRPr="00AA7221">
              <w:rPr>
                <w:b w:val="0"/>
              </w:rPr>
              <w:t>spp.</w:t>
            </w:r>
          </w:p>
        </w:tc>
        <w:tc>
          <w:tcPr>
            <w:tcW w:w="551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21</w:t>
            </w:r>
          </w:p>
        </w:tc>
        <w:tc>
          <w:tcPr>
            <w:tcW w:w="960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19.0%</w:t>
            </w:r>
          </w:p>
        </w:tc>
        <w:tc>
          <w:tcPr>
            <w:tcW w:w="1844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11</w:t>
            </w:r>
            <w:r>
              <w:t>,</w:t>
            </w:r>
            <w:r w:rsidRPr="00E9596B">
              <w:t>400 ± 5</w:t>
            </w:r>
            <w:r>
              <w:t>,</w:t>
            </w:r>
            <w:r w:rsidRPr="00E9596B">
              <w:t>078</w:t>
            </w:r>
          </w:p>
        </w:tc>
        <w:tc>
          <w:tcPr>
            <w:tcW w:w="1843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796</w:t>
            </w:r>
          </w:p>
        </w:tc>
        <w:tc>
          <w:tcPr>
            <w:tcW w:w="992" w:type="dxa"/>
            <w:noWrap/>
          </w:tcPr>
          <w:p w:rsidR="00B76387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ab</w:t>
            </w:r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</w:pPr>
            <w:proofErr w:type="spellStart"/>
            <w:r w:rsidRPr="00AA7221">
              <w:t>Diptera</w:t>
            </w:r>
            <w:proofErr w:type="spellEnd"/>
          </w:p>
        </w:tc>
        <w:tc>
          <w:tcPr>
            <w:tcW w:w="551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4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noWrap/>
          </w:tcPr>
          <w:p w:rsidR="00B76387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Dilophus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nigrostigma</w:t>
            </w:r>
            <w:proofErr w:type="spellEnd"/>
          </w:p>
        </w:tc>
        <w:tc>
          <w:tcPr>
            <w:tcW w:w="551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42</w:t>
            </w:r>
          </w:p>
        </w:tc>
        <w:tc>
          <w:tcPr>
            <w:tcW w:w="960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19.0%</w:t>
            </w:r>
          </w:p>
        </w:tc>
        <w:tc>
          <w:tcPr>
            <w:tcW w:w="1844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13</w:t>
            </w:r>
            <w:r>
              <w:t>,</w:t>
            </w:r>
            <w:r w:rsidRPr="00E9596B">
              <w:t>402 ± 6</w:t>
            </w:r>
            <w:r>
              <w:t>,</w:t>
            </w:r>
            <w:r w:rsidRPr="00E9596B">
              <w:t>720</w:t>
            </w:r>
          </w:p>
        </w:tc>
        <w:tc>
          <w:tcPr>
            <w:tcW w:w="1843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</w:t>
            </w:r>
            <w:r>
              <w:t>,</w:t>
            </w:r>
            <w:r w:rsidRPr="00E9596B">
              <w:t>169 ± 416</w:t>
            </w:r>
          </w:p>
        </w:tc>
        <w:tc>
          <w:tcPr>
            <w:tcW w:w="992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9596B">
              <w:t>ab</w:t>
            </w:r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Eristalis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tenax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27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14.8%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4</w:t>
            </w:r>
            <w:r>
              <w:t>,</w:t>
            </w:r>
            <w:r w:rsidRPr="00E9596B">
              <w:t>052 ± 2</w:t>
            </w:r>
            <w:r>
              <w:t>,</w:t>
            </w:r>
            <w:r w:rsidRPr="00E9596B">
              <w:t>970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1</w:t>
            </w:r>
            <w:r>
              <w:t>,</w:t>
            </w:r>
            <w:r w:rsidRPr="00E9596B">
              <w:t>680 ± 908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proofErr w:type="spellStart"/>
            <w:r w:rsidRPr="00E9596B">
              <w:t>abc</w:t>
            </w:r>
            <w:proofErr w:type="spellEnd"/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Helophilus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hochstetteri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22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18.2%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12</w:t>
            </w:r>
            <w:r>
              <w:t>,</w:t>
            </w:r>
            <w:r w:rsidRPr="00E9596B">
              <w:t>718 ± 6</w:t>
            </w:r>
            <w:r>
              <w:t>,</w:t>
            </w:r>
            <w:r w:rsidRPr="00E9596B">
              <w:t>776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0 ± 0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proofErr w:type="spellStart"/>
            <w:r w:rsidRPr="00E9596B">
              <w:t>abc</w:t>
            </w:r>
            <w:proofErr w:type="spellEnd"/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Melangyna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novaezelandiae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29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34.5%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759 ± 337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190 ± 134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proofErr w:type="spellStart"/>
            <w:r w:rsidRPr="00E9596B">
              <w:t>bcd</w:t>
            </w:r>
            <w:proofErr w:type="spellEnd"/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Melanostoma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fasciatum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15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53.3%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4</w:t>
            </w:r>
            <w:r>
              <w:t>,</w:t>
            </w:r>
            <w:r w:rsidRPr="00E9596B">
              <w:t>324 ± 3</w:t>
            </w:r>
            <w:r>
              <w:t>,</w:t>
            </w:r>
            <w:r w:rsidRPr="00E9596B">
              <w:t>837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proofErr w:type="spellStart"/>
            <w:r w:rsidRPr="00E9596B">
              <w:t>bcd</w:t>
            </w:r>
            <w:proofErr w:type="spellEnd"/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</w:pPr>
            <w:proofErr w:type="spellStart"/>
            <w:r w:rsidRPr="00AA7221">
              <w:t>Coleoptera</w:t>
            </w:r>
            <w:proofErr w:type="spellEnd"/>
          </w:p>
        </w:tc>
        <w:tc>
          <w:tcPr>
            <w:tcW w:w="551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4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noWrap/>
          </w:tcPr>
          <w:p w:rsidR="00B76387" w:rsidRPr="00E9596B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5B6003">
              <w:rPr>
                <w:b w:val="0"/>
                <w:i/>
              </w:rPr>
              <w:t>Calliprason</w:t>
            </w:r>
            <w:proofErr w:type="spellEnd"/>
            <w:r w:rsidRPr="005B6003">
              <w:rPr>
                <w:b w:val="0"/>
                <w:i/>
              </w:rPr>
              <w:t xml:space="preserve"> </w:t>
            </w:r>
            <w:proofErr w:type="spellStart"/>
            <w:r w:rsidRPr="005B6003">
              <w:rPr>
                <w:b w:val="0"/>
                <w:i/>
              </w:rPr>
              <w:t>pallidus</w:t>
            </w:r>
            <w:proofErr w:type="spellEnd"/>
          </w:p>
        </w:tc>
        <w:tc>
          <w:tcPr>
            <w:tcW w:w="551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4</w:t>
            </w:r>
          </w:p>
        </w:tc>
        <w:tc>
          <w:tcPr>
            <w:tcW w:w="960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25.0%</w:t>
            </w:r>
          </w:p>
        </w:tc>
        <w:tc>
          <w:tcPr>
            <w:tcW w:w="1844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</w:t>
            </w:r>
            <w:r>
              <w:t>,</w:t>
            </w:r>
            <w:r w:rsidRPr="00E9596B">
              <w:t>115 ± 1</w:t>
            </w:r>
            <w:r>
              <w:t>,</w:t>
            </w:r>
            <w:r w:rsidRPr="00E9596B">
              <w:t>107</w:t>
            </w:r>
          </w:p>
        </w:tc>
        <w:tc>
          <w:tcPr>
            <w:tcW w:w="1843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92" w:type="dxa"/>
            <w:noWrap/>
          </w:tcPr>
          <w:p w:rsidR="00B76387" w:rsidRPr="00E9596B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76387" w:rsidRPr="00C746AE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AA7221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AA7221">
              <w:rPr>
                <w:b w:val="0"/>
                <w:i/>
              </w:rPr>
              <w:t>Zorion</w:t>
            </w:r>
            <w:proofErr w:type="spellEnd"/>
            <w:r w:rsidRPr="00AA7221">
              <w:rPr>
                <w:b w:val="0"/>
                <w:i/>
              </w:rPr>
              <w:t xml:space="preserve"> </w:t>
            </w:r>
            <w:proofErr w:type="spellStart"/>
            <w:r w:rsidRPr="00AA7221">
              <w:rPr>
                <w:b w:val="0"/>
                <w:i/>
              </w:rPr>
              <w:t>guttigerum</w:t>
            </w:r>
            <w:proofErr w:type="spellEnd"/>
          </w:p>
        </w:tc>
        <w:tc>
          <w:tcPr>
            <w:tcW w:w="551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46</w:t>
            </w:r>
          </w:p>
        </w:tc>
        <w:tc>
          <w:tcPr>
            <w:tcW w:w="960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50.0%</w:t>
            </w:r>
          </w:p>
        </w:tc>
        <w:tc>
          <w:tcPr>
            <w:tcW w:w="1844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2</w:t>
            </w:r>
            <w:r>
              <w:t>,</w:t>
            </w:r>
            <w:r w:rsidRPr="00E9596B">
              <w:t>193 ± 1</w:t>
            </w:r>
            <w:r>
              <w:t>,</w:t>
            </w:r>
            <w:r w:rsidRPr="00E9596B">
              <w:t>635</w:t>
            </w:r>
          </w:p>
        </w:tc>
        <w:tc>
          <w:tcPr>
            <w:tcW w:w="1843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6B">
              <w:t>417 ± 290</w:t>
            </w:r>
          </w:p>
        </w:tc>
        <w:tc>
          <w:tcPr>
            <w:tcW w:w="992" w:type="dxa"/>
            <w:noWrap/>
            <w:hideMark/>
          </w:tcPr>
          <w:p w:rsidR="00B76387" w:rsidRPr="00C746AE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9596B">
              <w:t>cd</w:t>
            </w:r>
          </w:p>
        </w:tc>
      </w:tr>
      <w:tr w:rsidR="00B76387" w:rsidRPr="00C746AE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C746AE" w:rsidRDefault="00B76387" w:rsidP="005B6003">
            <w:pPr>
              <w:keepNext/>
            </w:pPr>
            <w:r>
              <w:t>C</w:t>
            </w:r>
            <w:r w:rsidRPr="00C746AE">
              <w:t>ontrol</w:t>
            </w:r>
            <w:r>
              <w:tab/>
            </w:r>
          </w:p>
        </w:tc>
        <w:tc>
          <w:tcPr>
            <w:tcW w:w="551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119</w:t>
            </w:r>
          </w:p>
        </w:tc>
        <w:tc>
          <w:tcPr>
            <w:tcW w:w="960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70.6%</w:t>
            </w:r>
          </w:p>
        </w:tc>
        <w:tc>
          <w:tcPr>
            <w:tcW w:w="1844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71 ± 40</w:t>
            </w:r>
          </w:p>
        </w:tc>
        <w:tc>
          <w:tcPr>
            <w:tcW w:w="1843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6B">
              <w:t>0 ± 0</w:t>
            </w:r>
          </w:p>
        </w:tc>
        <w:tc>
          <w:tcPr>
            <w:tcW w:w="992" w:type="dxa"/>
            <w:noWrap/>
          </w:tcPr>
          <w:p w:rsidR="00B76387" w:rsidRPr="00C746AE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9596B">
              <w:t>d</w:t>
            </w:r>
          </w:p>
        </w:tc>
      </w:tr>
    </w:tbl>
    <w:p w:rsidR="00B90361" w:rsidRDefault="00B90361"/>
    <w:p w:rsidR="00B76387" w:rsidRDefault="00B76387"/>
    <w:p w:rsidR="00B76387" w:rsidRDefault="00B76387" w:rsidP="00B76387">
      <w:pPr>
        <w:pStyle w:val="Caption"/>
        <w:keepNext/>
      </w:pPr>
      <w:bookmarkStart w:id="1" w:name="_Ref12541697"/>
      <w:r>
        <w:lastRenderedPageBreak/>
        <w:t xml:space="preserve">Supplementary </w:t>
      </w:r>
      <w:bookmarkStart w:id="2" w:name="_GoBack"/>
      <w:bookmarkEnd w:id="2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1"/>
      <w:r>
        <w:t xml:space="preserve">: Flower handling time for insects foraging on kiwifruit cultivar </w:t>
      </w:r>
      <w:proofErr w:type="spellStart"/>
      <w:r>
        <w:t>Actinidia</w:t>
      </w:r>
      <w:proofErr w:type="spellEnd"/>
      <w:r>
        <w:t xml:space="preserve"> </w:t>
      </w:r>
      <w:proofErr w:type="spellStart"/>
      <w:r>
        <w:t>chinensis</w:t>
      </w:r>
      <w:proofErr w:type="spellEnd"/>
      <w:r>
        <w:t xml:space="preserve"> var. </w:t>
      </w:r>
      <w:proofErr w:type="spellStart"/>
      <w:r>
        <w:t>deliciosa</w:t>
      </w:r>
      <w:proofErr w:type="spellEnd"/>
      <w:r>
        <w:t xml:space="preserve"> ‘Hayward’ in 2013–2015. Values are means </w:t>
      </w:r>
      <w:r w:rsidRPr="007435B6">
        <w:rPr>
          <w:rFonts w:cstheme="minorHAnsi"/>
          <w:lang w:val="en-US"/>
        </w:rPr>
        <w:t>±</w:t>
      </w:r>
      <w:r>
        <w:rPr>
          <w:rFonts w:cstheme="minorHAnsi"/>
          <w:lang w:val="en-US"/>
        </w:rPr>
        <w:t xml:space="preserve"> standard error (SE); values with no SE are single observations. </w:t>
      </w:r>
      <w:r>
        <w:t>Letters are b</w:t>
      </w:r>
      <w:r w:rsidRPr="004D5D32">
        <w:t>ased on</w:t>
      </w:r>
      <w:r>
        <w:t xml:space="preserve"> the</w:t>
      </w:r>
      <w:r w:rsidRPr="004D5D32">
        <w:t xml:space="preserve"> Dunn test for </w:t>
      </w:r>
      <w:r>
        <w:t>flower handling time for insects with &gt;1 observation.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2"/>
        <w:gridCol w:w="456"/>
        <w:gridCol w:w="1529"/>
        <w:gridCol w:w="825"/>
      </w:tblGrid>
      <w:tr w:rsidR="00B76387" w:rsidRPr="007E7072" w:rsidTr="005B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7E7072" w:rsidRDefault="00B76387" w:rsidP="005B6003">
            <w:pPr>
              <w:keepNext/>
            </w:pPr>
            <w:r w:rsidRPr="007E7072">
              <w:t>Insect</w:t>
            </w:r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n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(s)</w:t>
            </w:r>
          </w:p>
        </w:tc>
        <w:tc>
          <w:tcPr>
            <w:tcW w:w="825" w:type="dxa"/>
            <w:noWrap/>
            <w:hideMark/>
          </w:tcPr>
          <w:p w:rsidR="00B76387" w:rsidRPr="007E7072" w:rsidRDefault="00B76387" w:rsidP="005B600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F40D82" w:rsidRDefault="00B76387" w:rsidP="005B6003">
            <w:pPr>
              <w:keepNext/>
              <w:rPr>
                <w:b w:val="0"/>
              </w:rPr>
            </w:pPr>
            <w:r w:rsidRPr="00F40D82">
              <w:t>Hymenoptera</w:t>
            </w:r>
          </w:p>
        </w:tc>
        <w:tc>
          <w:tcPr>
            <w:tcW w:w="456" w:type="dxa"/>
            <w:noWrap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  <w:noWrap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5" w:type="dxa"/>
            <w:noWrap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Apis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mellifera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86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AF1">
              <w:t>24.3 ± 1.9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81AF1">
              <w:rPr>
                <w:rFonts w:ascii="Courier New" w:hAnsi="Courier New" w:cs="Courier New"/>
                <w:sz w:val="18"/>
                <w:szCs w:val="18"/>
              </w:rPr>
              <w:t>bcd</w:t>
            </w:r>
            <w:proofErr w:type="spellEnd"/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Bombus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ruderatus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12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AF1">
              <w:t>20.6 ± 6.7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 xml:space="preserve">  cd</w:t>
            </w:r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Bombus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terrestris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20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AF1">
              <w:t xml:space="preserve">16.4 </w:t>
            </w:r>
            <w:r>
              <w:t>5</w:t>
            </w:r>
            <w:r w:rsidRPr="00F81AF1">
              <w:t>2.7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 xml:space="preserve">   d</w:t>
            </w:r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Lasioglossum</w:t>
            </w:r>
            <w:proofErr w:type="spellEnd"/>
            <w:r w:rsidRPr="00F40D82">
              <w:rPr>
                <w:b w:val="0"/>
              </w:rPr>
              <w:t xml:space="preserve"> spp.</w:t>
            </w:r>
          </w:p>
        </w:tc>
        <w:tc>
          <w:tcPr>
            <w:tcW w:w="456" w:type="dxa"/>
            <w:noWrap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6</w:t>
            </w:r>
          </w:p>
        </w:tc>
        <w:tc>
          <w:tcPr>
            <w:tcW w:w="1529" w:type="dxa"/>
            <w:noWrap/>
          </w:tcPr>
          <w:p w:rsidR="00B76387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AF1">
              <w:t>152.7 ± 89</w:t>
            </w:r>
          </w:p>
        </w:tc>
        <w:tc>
          <w:tcPr>
            <w:tcW w:w="825" w:type="dxa"/>
            <w:noWrap/>
          </w:tcPr>
          <w:p w:rsidR="00B76387" w:rsidRDefault="00B76387" w:rsidP="005B600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81AF1">
              <w:rPr>
                <w:rFonts w:ascii="Courier New" w:hAnsi="Courier New" w:cs="Courier New"/>
                <w:sz w:val="18"/>
                <w:szCs w:val="18"/>
              </w:rPr>
              <w:t>abc</w:t>
            </w:r>
            <w:proofErr w:type="spellEnd"/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Leioproctus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r w:rsidRPr="00F40D82">
              <w:rPr>
                <w:b w:val="0"/>
              </w:rPr>
              <w:t>spp.</w:t>
            </w:r>
          </w:p>
        </w:tc>
        <w:tc>
          <w:tcPr>
            <w:tcW w:w="456" w:type="dxa"/>
            <w:noWrap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12</w:t>
            </w:r>
          </w:p>
        </w:tc>
        <w:tc>
          <w:tcPr>
            <w:tcW w:w="1529" w:type="dxa"/>
            <w:noWrap/>
          </w:tcPr>
          <w:p w:rsidR="00B76387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AF1">
              <w:t>92.7 ± 38.9</w:t>
            </w:r>
          </w:p>
        </w:tc>
        <w:tc>
          <w:tcPr>
            <w:tcW w:w="825" w:type="dxa"/>
            <w:noWrap/>
          </w:tcPr>
          <w:p w:rsidR="00B76387" w:rsidRDefault="00B76387" w:rsidP="005B600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81AF1">
              <w:rPr>
                <w:rFonts w:ascii="Courier New" w:hAnsi="Courier New" w:cs="Courier New"/>
                <w:sz w:val="18"/>
                <w:szCs w:val="18"/>
              </w:rPr>
              <w:t>abcd</w:t>
            </w:r>
            <w:proofErr w:type="spellEnd"/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F40D82" w:rsidRDefault="00B76387" w:rsidP="005B6003">
            <w:pPr>
              <w:keepNext/>
            </w:pPr>
            <w:proofErr w:type="spellStart"/>
            <w:r w:rsidRPr="00F40D82">
              <w:t>Diptera</w:t>
            </w:r>
            <w:proofErr w:type="spellEnd"/>
          </w:p>
        </w:tc>
        <w:tc>
          <w:tcPr>
            <w:tcW w:w="456" w:type="dxa"/>
            <w:noWrap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  <w:noWrap/>
          </w:tcPr>
          <w:p w:rsidR="00B76387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5" w:type="dxa"/>
            <w:noWrap/>
          </w:tcPr>
          <w:p w:rsidR="00B76387" w:rsidRPr="00F81AF1" w:rsidRDefault="00B76387" w:rsidP="005B600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Calliphora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stygia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1</w:t>
            </w:r>
          </w:p>
        </w:tc>
        <w:tc>
          <w:tcPr>
            <w:tcW w:w="1529" w:type="dxa"/>
            <w:noWrap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825" w:type="dxa"/>
            <w:noWrap/>
          </w:tcPr>
          <w:p w:rsidR="00B76387" w:rsidRPr="00F81AF1" w:rsidRDefault="00B76387" w:rsidP="005B600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Dilophus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nigrostigma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3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AF1">
              <w:t>140.1 ± 65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ab</w:t>
            </w:r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Eristalis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tenax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9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AF1">
              <w:t>116</w:t>
            </w:r>
            <w:r>
              <w:t>.0</w:t>
            </w:r>
            <w:r w:rsidRPr="00F81AF1">
              <w:t xml:space="preserve"> ± 58.5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81AF1">
              <w:rPr>
                <w:rFonts w:ascii="Courier New" w:hAnsi="Courier New" w:cs="Courier New"/>
                <w:sz w:val="18"/>
                <w:szCs w:val="18"/>
              </w:rPr>
              <w:t>abcd</w:t>
            </w:r>
            <w:proofErr w:type="spellEnd"/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Helophilus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hochstetteri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7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AF1">
              <w:t>180</w:t>
            </w:r>
            <w:r>
              <w:t>.0</w:t>
            </w:r>
            <w:r w:rsidRPr="00F81AF1">
              <w:t xml:space="preserve"> ± 82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ab</w:t>
            </w:r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Helophilus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seelandicus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1</w:t>
            </w:r>
          </w:p>
        </w:tc>
        <w:tc>
          <w:tcPr>
            <w:tcW w:w="1529" w:type="dxa"/>
            <w:noWrap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825" w:type="dxa"/>
            <w:noWrap/>
          </w:tcPr>
          <w:p w:rsidR="00B76387" w:rsidRPr="00F81AF1" w:rsidRDefault="00B76387" w:rsidP="005B600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Melangyna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novaezelandiae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9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AF1">
              <w:t>120.8 ± 43.1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81AF1">
              <w:rPr>
                <w:rFonts w:ascii="Courier New" w:hAnsi="Courier New" w:cs="Courier New"/>
                <w:sz w:val="18"/>
                <w:szCs w:val="18"/>
              </w:rPr>
              <w:t>abc</w:t>
            </w:r>
            <w:proofErr w:type="spellEnd"/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Melanostoma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fasciatum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072">
              <w:t>4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AF1">
              <w:t>118.5 ± 1.1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a</w:t>
            </w:r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Oxysarcodexia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varia</w:t>
            </w:r>
            <w:proofErr w:type="spellEnd"/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1</w:t>
            </w:r>
          </w:p>
        </w:tc>
        <w:tc>
          <w:tcPr>
            <w:tcW w:w="1529" w:type="dxa"/>
            <w:noWrap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825" w:type="dxa"/>
            <w:noWrap/>
          </w:tcPr>
          <w:p w:rsidR="00B76387" w:rsidRPr="00F81AF1" w:rsidRDefault="00B76387" w:rsidP="005B600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76387" w:rsidRPr="007E7072" w:rsidTr="005B6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B76387" w:rsidRPr="00F40D82" w:rsidRDefault="00B76387" w:rsidP="005B6003">
            <w:pPr>
              <w:keepNext/>
            </w:pPr>
            <w:proofErr w:type="spellStart"/>
            <w:r w:rsidRPr="00F40D82">
              <w:t>Coleoptera</w:t>
            </w:r>
            <w:proofErr w:type="spellEnd"/>
          </w:p>
        </w:tc>
        <w:tc>
          <w:tcPr>
            <w:tcW w:w="456" w:type="dxa"/>
            <w:noWrap/>
          </w:tcPr>
          <w:p w:rsidR="00B76387" w:rsidRPr="007E7072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  <w:noWrap/>
          </w:tcPr>
          <w:p w:rsidR="00B76387" w:rsidRPr="00F81AF1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noWrap/>
          </w:tcPr>
          <w:p w:rsidR="00B76387" w:rsidRPr="00F81AF1" w:rsidRDefault="00B76387" w:rsidP="005B600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76387" w:rsidRPr="007E7072" w:rsidTr="005B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B76387" w:rsidRPr="00F40D82" w:rsidRDefault="00B76387" w:rsidP="005B6003">
            <w:pPr>
              <w:keepNext/>
              <w:rPr>
                <w:b w:val="0"/>
                <w:i/>
              </w:rPr>
            </w:pPr>
            <w:proofErr w:type="spellStart"/>
            <w:r w:rsidRPr="00F40D82">
              <w:rPr>
                <w:b w:val="0"/>
                <w:i/>
              </w:rPr>
              <w:t>Zorion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  <w:proofErr w:type="spellStart"/>
            <w:r w:rsidRPr="00F40D82">
              <w:rPr>
                <w:b w:val="0"/>
                <w:i/>
              </w:rPr>
              <w:t>guttigerum</w:t>
            </w:r>
            <w:proofErr w:type="spellEnd"/>
            <w:r w:rsidRPr="00F40D82">
              <w:rPr>
                <w:b w:val="0"/>
                <w:i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072">
              <w:t>6</w:t>
            </w:r>
          </w:p>
        </w:tc>
        <w:tc>
          <w:tcPr>
            <w:tcW w:w="1529" w:type="dxa"/>
            <w:noWrap/>
            <w:hideMark/>
          </w:tcPr>
          <w:p w:rsidR="00B76387" w:rsidRPr="007E7072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AF1">
              <w:t>192 ± 62.6</w:t>
            </w:r>
          </w:p>
        </w:tc>
        <w:tc>
          <w:tcPr>
            <w:tcW w:w="825" w:type="dxa"/>
            <w:noWrap/>
            <w:hideMark/>
          </w:tcPr>
          <w:p w:rsidR="00B76387" w:rsidRPr="00F81AF1" w:rsidRDefault="00B76387" w:rsidP="005B60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F81AF1">
              <w:rPr>
                <w:rFonts w:ascii="Courier New" w:hAnsi="Courier New" w:cs="Courier New"/>
                <w:sz w:val="18"/>
                <w:szCs w:val="18"/>
              </w:rPr>
              <w:t>a</w:t>
            </w:r>
          </w:p>
        </w:tc>
      </w:tr>
    </w:tbl>
    <w:p w:rsidR="00B76387" w:rsidRDefault="00B76387"/>
    <w:p w:rsidR="00B76387" w:rsidRDefault="00B76387"/>
    <w:sectPr w:rsidR="00B76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7"/>
    <w:rsid w:val="0015029D"/>
    <w:rsid w:val="00485F44"/>
    <w:rsid w:val="00B76387"/>
    <w:rsid w:val="00B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E26A"/>
  <w15:chartTrackingRefBased/>
  <w15:docId w15:val="{A560437D-6671-4186-9A97-81F1FAB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763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B76387"/>
    <w:rPr>
      <w:rFonts w:eastAsiaTheme="minorEastAsia"/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B763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Broussard</dc:creator>
  <cp:keywords/>
  <dc:description/>
  <cp:lastModifiedBy>Melissa Broussard</cp:lastModifiedBy>
  <cp:revision>1</cp:revision>
  <dcterms:created xsi:type="dcterms:W3CDTF">2021-12-01T01:18:00Z</dcterms:created>
  <dcterms:modified xsi:type="dcterms:W3CDTF">2021-12-01T08:20:00Z</dcterms:modified>
</cp:coreProperties>
</file>