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3C" w:rsidRPr="0097003C" w:rsidRDefault="0097003C" w:rsidP="0097003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03C">
        <w:rPr>
          <w:rFonts w:ascii="Times New Roman" w:hAnsi="Times New Roman" w:cs="Times New Roman"/>
          <w:b/>
          <w:sz w:val="24"/>
          <w:szCs w:val="24"/>
          <w:lang w:val="en-US"/>
        </w:rPr>
        <w:t>Table S4:</w:t>
      </w:r>
    </w:p>
    <w:p w:rsidR="0097003C" w:rsidRPr="0097003C" w:rsidRDefault="0097003C" w:rsidP="0097003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003C">
        <w:rPr>
          <w:rFonts w:ascii="Times New Roman" w:hAnsi="Times New Roman" w:cs="Times New Roman"/>
          <w:b/>
          <w:sz w:val="24"/>
          <w:szCs w:val="24"/>
          <w:lang w:val="en-US"/>
        </w:rPr>
        <w:t>Test statistics, p-values and effect sizes from both scenarios resulting from the Anderson-Darling test to access the variation of future distributions of habitat in landscapes in relation to the current distribution.</w:t>
      </w:r>
    </w:p>
    <w:p w:rsidR="00204357" w:rsidRDefault="0097003C" w:rsidP="0097003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7003C">
        <w:rPr>
          <w:rFonts w:ascii="Times New Roman" w:hAnsi="Times New Roman" w:cs="Times New Roman"/>
          <w:sz w:val="24"/>
          <w:szCs w:val="24"/>
          <w:lang w:val="en-US"/>
        </w:rPr>
        <w:t>Calculated for each species, for the pessimistic and optimistic scenarios. Effect Sizes correspond to the “shift in standard-deviation between distributions” (</w:t>
      </w:r>
      <w:r w:rsidRPr="0097003C">
        <w:rPr>
          <w:rFonts w:ascii="Times New Roman" w:hAnsi="Times New Roman" w:cs="Times New Roman"/>
          <w:sz w:val="24"/>
          <w:szCs w:val="24"/>
        </w:rPr>
        <w:t>σ</w:t>
      </w:r>
      <w:r w:rsidR="00DD1C2F" w:rsidRPr="00DD1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003C">
        <w:rPr>
          <w:rFonts w:ascii="Times New Roman" w:hAnsi="Times New Roman" w:cs="Times New Roman"/>
          <w:sz w:val="24"/>
          <w:szCs w:val="24"/>
          <w:lang w:val="en-US"/>
        </w:rPr>
        <w:t xml:space="preserve">present / </w:t>
      </w:r>
      <w:r w:rsidRPr="0097003C">
        <w:rPr>
          <w:rFonts w:ascii="Times New Roman" w:hAnsi="Times New Roman" w:cs="Times New Roman"/>
          <w:sz w:val="24"/>
          <w:szCs w:val="24"/>
        </w:rPr>
        <w:t>σ</w:t>
      </w:r>
      <w:r w:rsidR="00DD1C2F" w:rsidRPr="00DD1C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97003C">
        <w:rPr>
          <w:rFonts w:ascii="Times New Roman" w:hAnsi="Times New Roman" w:cs="Times New Roman"/>
          <w:sz w:val="24"/>
          <w:szCs w:val="24"/>
          <w:lang w:val="en-US"/>
        </w:rPr>
        <w:t xml:space="preserve">future) following </w:t>
      </w:r>
      <w:proofErr w:type="spellStart"/>
      <w:r w:rsidRPr="0097003C">
        <w:rPr>
          <w:rFonts w:ascii="Times New Roman" w:hAnsi="Times New Roman" w:cs="Times New Roman"/>
          <w:sz w:val="24"/>
          <w:szCs w:val="24"/>
          <w:lang w:val="en-US"/>
        </w:rPr>
        <w:t>Engmann</w:t>
      </w:r>
      <w:proofErr w:type="spellEnd"/>
      <w:r w:rsidRPr="0097003C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97003C">
        <w:rPr>
          <w:rFonts w:ascii="Times New Roman" w:hAnsi="Times New Roman" w:cs="Times New Roman"/>
          <w:sz w:val="24"/>
          <w:szCs w:val="24"/>
          <w:lang w:val="en-US"/>
        </w:rPr>
        <w:t>Cousineau</w:t>
      </w:r>
      <w:proofErr w:type="spellEnd"/>
      <w:r w:rsidRPr="0097003C">
        <w:rPr>
          <w:rFonts w:ascii="Times New Roman" w:hAnsi="Times New Roman" w:cs="Times New Roman"/>
          <w:sz w:val="24"/>
          <w:szCs w:val="24"/>
          <w:lang w:val="en-US"/>
        </w:rPr>
        <w:t xml:space="preserve"> (2011), where effect sizes are considered “small” when shifts are around 0.25 </w:t>
      </w:r>
      <w:r w:rsidRPr="0097003C">
        <w:rPr>
          <w:rFonts w:ascii="Times New Roman" w:hAnsi="Times New Roman" w:cs="Times New Roman"/>
          <w:sz w:val="24"/>
          <w:szCs w:val="24"/>
        </w:rPr>
        <w:t>σ</w:t>
      </w:r>
      <w:r w:rsidRPr="0097003C">
        <w:rPr>
          <w:rFonts w:ascii="Times New Roman" w:hAnsi="Times New Roman" w:cs="Times New Roman"/>
          <w:sz w:val="24"/>
          <w:szCs w:val="24"/>
          <w:lang w:val="en-US"/>
        </w:rPr>
        <w:t xml:space="preserve">, “medium” around 0.50 </w:t>
      </w:r>
      <w:r w:rsidRPr="0097003C">
        <w:rPr>
          <w:rFonts w:ascii="Times New Roman" w:hAnsi="Times New Roman" w:cs="Times New Roman"/>
          <w:sz w:val="24"/>
          <w:szCs w:val="24"/>
        </w:rPr>
        <w:t>σ</w:t>
      </w:r>
      <w:r w:rsidRPr="0097003C">
        <w:rPr>
          <w:rFonts w:ascii="Times New Roman" w:hAnsi="Times New Roman" w:cs="Times New Roman"/>
          <w:sz w:val="24"/>
          <w:szCs w:val="24"/>
          <w:lang w:val="en-US"/>
        </w:rPr>
        <w:t xml:space="preserve">, and “large” around 0.75 </w:t>
      </w:r>
      <w:r w:rsidRPr="0097003C">
        <w:rPr>
          <w:rFonts w:ascii="Times New Roman" w:hAnsi="Times New Roman" w:cs="Times New Roman"/>
          <w:sz w:val="24"/>
          <w:szCs w:val="24"/>
        </w:rPr>
        <w:t>σ</w:t>
      </w:r>
      <w:r w:rsidRPr="0097003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7003C">
        <w:rPr>
          <w:rFonts w:ascii="Times New Roman" w:hAnsi="Times New Roman" w:cs="Times New Roman"/>
          <w:sz w:val="24"/>
          <w:szCs w:val="24"/>
        </w:rPr>
        <w:t>σ</w:t>
      </w:r>
      <w:r w:rsidRPr="0097003C">
        <w:rPr>
          <w:rFonts w:ascii="Times New Roman" w:hAnsi="Times New Roman" w:cs="Times New Roman"/>
          <w:sz w:val="24"/>
          <w:szCs w:val="24"/>
          <w:lang w:val="en-US"/>
        </w:rPr>
        <w:t>=standard deviation).</w:t>
      </w:r>
    </w:p>
    <w:tbl>
      <w:tblPr>
        <w:tblpPr w:leftFromText="141" w:rightFromText="141" w:vertAnchor="page" w:horzAnchor="margin" w:tblpY="4522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785"/>
        <w:gridCol w:w="490"/>
        <w:gridCol w:w="757"/>
        <w:gridCol w:w="1012"/>
        <w:gridCol w:w="490"/>
        <w:gridCol w:w="757"/>
        <w:gridCol w:w="1012"/>
      </w:tblGrid>
      <w:tr w:rsidR="00FA3BCC" w:rsidRPr="00FA3BCC" w:rsidTr="00206D7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Optmistic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scenario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Pessimistic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scenario</w:t>
            </w:r>
            <w:proofErr w:type="spellEnd"/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Species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Pattern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p.value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Effect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p.value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Effect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size</w:t>
            </w:r>
            <w:proofErr w:type="spellEnd"/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Alopoglossus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atriventris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0.89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0.87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Arthrosaura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kockii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1.09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Arthrosaura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reticulata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0.97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0.95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Cercosaura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argulus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0.98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0.95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Cercosaura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bassleri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0.88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Cercosaura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oshaughnessyi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0.88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0.87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Dactyloa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transversalis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0.97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Enyalioides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laticeps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0.97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Gonatodes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humeralis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0.98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Kentropyx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altamazonica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1.02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0.98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Kentropyx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pelviceps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0.99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0.92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Lepidoblepharis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heyerorum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1.04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1.02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Loxopholis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percarinatum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0.98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0.98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Loxopholis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snethlageae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0.92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bombiceps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0.95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0.93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fuscoauratus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0.98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0.95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ortonii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0.97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0.95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planiceps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1.05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1.05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scypheus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0.98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0.94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tandai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1.05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0.99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trachyderma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1.12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1.05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Plica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plica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0.97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Plica u.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ochrocollaris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0.97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0.94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Plica u.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umbra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1.03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1.02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Potamites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ecpleopus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1.02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0.99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Pseudogonatodes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guianensis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0.98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0.92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Ptychoglossus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brevifrontalis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0.98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0.97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Stenocercus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fimbriatus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0.94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0.92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Thecadactylus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solimoensis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1.02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Tretioscincus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oriximinensis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0.94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Uracentron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flaviceps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0.98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0.94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Uranoscodon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superciliosus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Varzea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altamazonica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1.03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0.98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Varzea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bistriata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0.97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lastRenderedPageBreak/>
              <w:t>Cercosaura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ocellata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1.04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1.05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Chatogeckko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amazonicus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1.02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Gonatodes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annularis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1.04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1.03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Neusticurus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bicarinatus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1.03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Cercosaura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eigenmanni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Colobosaura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modesta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0.92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1.08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Enyalius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leechii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1.27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1.35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Hoplocercus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spinosus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1.04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1.14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Neusticurus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rudis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0.93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brasiliensis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1.04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1.22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Polychrus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liogaster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1.04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Stenocercus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roseiventris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Tropidurus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oreadicus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0.99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1.09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Uracentron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a.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azureum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0.97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Ameiva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a.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ameiva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0.98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0.97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Cnemidophorus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cryptus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1.03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Cnemidophorus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l.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lemniscatus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Crocodilurus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amazonicus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0.98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0.97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Gonatodes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hasemani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1.02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Kentropyx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striata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0.98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0.98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Loxopholis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guianense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1.03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1.05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auratus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Norops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chrysolepis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0.99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1.03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Tretioscincus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agilis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1.01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Bachia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flavescens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0.94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Copeoglossum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nigropunctatum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1.08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Dactyloa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punctata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0.89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0.91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Kentropyx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calcarata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1.04 σ</w:t>
            </w:r>
          </w:p>
        </w:tc>
      </w:tr>
      <w:tr w:rsidR="00206D7D" w:rsidRPr="00FA3BCC" w:rsidTr="00206D7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Tupinambis</w:t>
            </w:r>
            <w:proofErr w:type="spellEnd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FA3BC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teguixin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0.94 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6D7D" w:rsidRPr="00FA3BCC" w:rsidRDefault="00206D7D" w:rsidP="00206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3BC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0.94 σ</w:t>
            </w:r>
          </w:p>
        </w:tc>
      </w:tr>
    </w:tbl>
    <w:p w:rsidR="0097003C" w:rsidRDefault="0097003C" w:rsidP="0097003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7003C" w:rsidRPr="0097003C" w:rsidRDefault="0097003C" w:rsidP="0097003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7003C" w:rsidRPr="0097003C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3C"/>
    <w:rsid w:val="00204357"/>
    <w:rsid w:val="00206D7D"/>
    <w:rsid w:val="0097003C"/>
    <w:rsid w:val="00DD1C2F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F536D"/>
  <w15:chartTrackingRefBased/>
  <w15:docId w15:val="{05143361-6739-4063-A992-8DE943D2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</dc:creator>
  <cp:keywords/>
  <dc:description/>
  <cp:lastModifiedBy>Leonardo Trevelin</cp:lastModifiedBy>
  <cp:revision>3</cp:revision>
  <dcterms:created xsi:type="dcterms:W3CDTF">2021-10-15T00:39:00Z</dcterms:created>
  <dcterms:modified xsi:type="dcterms:W3CDTF">2021-10-20T04:33:00Z</dcterms:modified>
</cp:coreProperties>
</file>