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D35D" w14:textId="77777777" w:rsidR="00B62CE6" w:rsidRPr="00FE25F8" w:rsidRDefault="00076FA2" w:rsidP="00FE25F8">
      <w:pPr>
        <w:jc w:val="left"/>
        <w:rPr>
          <w:rFonts w:ascii="Arial" w:eastAsia="Arial" w:hAnsi="Arial" w:cs="Arial"/>
          <w:b/>
          <w:color w:val="000000"/>
          <w:sz w:val="32"/>
          <w:szCs w:val="32"/>
        </w:rPr>
      </w:pPr>
      <w:r w:rsidRPr="00FE25F8">
        <w:rPr>
          <w:rFonts w:ascii="Arial" w:eastAsia="Arial" w:hAnsi="Arial" w:cs="Arial"/>
          <w:b/>
          <w:color w:val="000000"/>
          <w:sz w:val="32"/>
          <w:szCs w:val="32"/>
        </w:rPr>
        <w:t>Estimation of necessary sample size and exclusion criteria</w:t>
      </w:r>
    </w:p>
    <w:p w14:paraId="00B45009" w14:textId="77777777" w:rsidR="00B62CE6" w:rsidRDefault="00B62CE6">
      <w:pPr>
        <w:rPr>
          <w:rFonts w:ascii="Arial" w:eastAsia="Arial" w:hAnsi="Arial" w:cs="Arial"/>
          <w:b/>
          <w:color w:val="000000"/>
          <w:sz w:val="24"/>
        </w:rPr>
      </w:pPr>
    </w:p>
    <w:p w14:paraId="206F140E" w14:textId="77777777" w:rsidR="00B62CE6" w:rsidRPr="00FE25F8" w:rsidRDefault="00076FA2">
      <w:pPr>
        <w:rPr>
          <w:rFonts w:ascii="Arial" w:eastAsia="Arial" w:hAnsi="Arial" w:cs="Arial"/>
          <w:b/>
          <w:color w:val="000000"/>
          <w:sz w:val="28"/>
          <w:szCs w:val="28"/>
        </w:rPr>
      </w:pPr>
      <w:r w:rsidRPr="00FE25F8">
        <w:rPr>
          <w:rFonts w:ascii="Arial" w:eastAsia="Arial" w:hAnsi="Arial" w:cs="Arial"/>
          <w:b/>
          <w:color w:val="000000"/>
          <w:sz w:val="28"/>
          <w:szCs w:val="28"/>
        </w:rPr>
        <w:t>Study 1</w:t>
      </w:r>
      <w:r w:rsidRPr="00FE25F8">
        <w:rPr>
          <w:rFonts w:ascii="ＭＳ 明朝" w:eastAsia="ＭＳ 明朝" w:hAnsi="ＭＳ 明朝" w:cs="ＭＳ 明朝"/>
          <w:b/>
          <w:color w:val="000000"/>
          <w:sz w:val="28"/>
          <w:szCs w:val="28"/>
        </w:rPr>
        <w:t xml:space="preserve">　</w:t>
      </w:r>
    </w:p>
    <w:p w14:paraId="25E2F58A" w14:textId="70F297D6" w:rsidR="002510C0" w:rsidRDefault="00076FA2" w:rsidP="00FE25F8">
      <w:pPr>
        <w:spacing w:line="276" w:lineRule="auto"/>
        <w:jc w:val="left"/>
        <w:rPr>
          <w:color w:val="000000"/>
          <w:sz w:val="24"/>
        </w:rPr>
      </w:pPr>
      <w:r>
        <w:rPr>
          <w:color w:val="000000"/>
          <w:sz w:val="24"/>
        </w:rPr>
        <w:t xml:space="preserve">Survey 1 participants were recruited using a crowdsourcing service. </w:t>
      </w:r>
      <w:proofErr w:type="spellStart"/>
      <w:r>
        <w:rPr>
          <w:color w:val="000000"/>
          <w:sz w:val="24"/>
        </w:rPr>
        <w:t>Walasek</w:t>
      </w:r>
      <w:proofErr w:type="spellEnd"/>
      <w:r>
        <w:rPr>
          <w:color w:val="000000"/>
          <w:sz w:val="24"/>
        </w:rPr>
        <w:t xml:space="preserve">, Matthews, and </w:t>
      </w:r>
      <w:proofErr w:type="spellStart"/>
      <w:r>
        <w:rPr>
          <w:color w:val="000000"/>
          <w:sz w:val="24"/>
        </w:rPr>
        <w:t>Rakow</w:t>
      </w:r>
      <w:proofErr w:type="spellEnd"/>
      <w:r>
        <w:rPr>
          <w:color w:val="000000"/>
          <w:sz w:val="24"/>
        </w:rPr>
        <w:t xml:space="preserve"> (2015) performed principal component analysis on data from 732 participants; thus, we considered the analysis of an equivalent sample size to be necessary for our survey as well. We selected 800 as our required sample size because of the difficulty in recruiting an odd number of participants through the Yahoo! crowdsourcing system. To ensure sample independence, </w:t>
      </w:r>
      <w:r w:rsidR="002510C0">
        <w:rPr>
          <w:color w:val="000000"/>
          <w:sz w:val="24"/>
        </w:rPr>
        <w:t xml:space="preserve">we performed </w:t>
      </w:r>
      <w:r>
        <w:rPr>
          <w:color w:val="000000"/>
          <w:sz w:val="24"/>
        </w:rPr>
        <w:t>exploratory factor analysis and confirmatory factor analysis using separate data (</w:t>
      </w:r>
      <w:proofErr w:type="spellStart"/>
      <w:r>
        <w:rPr>
          <w:sz w:val="24"/>
        </w:rPr>
        <w:t>Iwasa</w:t>
      </w:r>
      <w:proofErr w:type="spellEnd"/>
      <w:r>
        <w:rPr>
          <w:sz w:val="24"/>
        </w:rPr>
        <w:t xml:space="preserve"> et al., 2016</w:t>
      </w:r>
      <w:r>
        <w:rPr>
          <w:color w:val="000000"/>
          <w:sz w:val="24"/>
        </w:rPr>
        <w:t xml:space="preserve">). The necessary sample size for these factor analyses was 360 participants (20 × number of items × 2 data; Hair et al., 1995). Considering the need to exclude participants showing undesirable response behaviors, such as minimizing effort (e.g., Oppenheimer, </w:t>
      </w:r>
      <w:proofErr w:type="spellStart"/>
      <w:r>
        <w:rPr>
          <w:color w:val="000000"/>
          <w:sz w:val="24"/>
        </w:rPr>
        <w:t>Meyvis</w:t>
      </w:r>
      <w:proofErr w:type="spellEnd"/>
      <w:r>
        <w:rPr>
          <w:color w:val="000000"/>
          <w:sz w:val="24"/>
        </w:rPr>
        <w:t xml:space="preserve">, &amp; </w:t>
      </w:r>
      <w:proofErr w:type="spellStart"/>
      <w:r>
        <w:rPr>
          <w:color w:val="000000"/>
          <w:sz w:val="24"/>
        </w:rPr>
        <w:t>Davidenko</w:t>
      </w:r>
      <w:proofErr w:type="spellEnd"/>
      <w:r>
        <w:rPr>
          <w:color w:val="000000"/>
          <w:sz w:val="24"/>
        </w:rPr>
        <w:t xml:space="preserve">, 2009) from analysis, we selected a maximum sample size of 900 participants. Excluding satisficers through preliminary analysis after our initial recruitment revealed that we were below our required sample size, and hence we conducted supplemental recruitment. </w:t>
      </w:r>
    </w:p>
    <w:p w14:paraId="60612C0F" w14:textId="6CCF8420" w:rsidR="00B62CE6" w:rsidRDefault="00076FA2" w:rsidP="00396616">
      <w:pPr>
        <w:spacing w:line="276" w:lineRule="auto"/>
        <w:ind w:firstLine="230"/>
        <w:jc w:val="left"/>
        <w:rPr>
          <w:color w:val="000000"/>
          <w:sz w:val="24"/>
        </w:rPr>
      </w:pPr>
      <w:r>
        <w:rPr>
          <w:color w:val="000000"/>
          <w:sz w:val="24"/>
        </w:rPr>
        <w:t>A total of 1,21</w:t>
      </w:r>
      <w:r w:rsidR="00BB7F1A" w:rsidRPr="00BB7F1A">
        <w:rPr>
          <w:rFonts w:eastAsia="ＭＳ 明朝"/>
          <w:color w:val="000000"/>
          <w:sz w:val="24"/>
        </w:rPr>
        <w:t>2</w:t>
      </w:r>
      <w:r>
        <w:rPr>
          <w:color w:val="000000"/>
          <w:sz w:val="24"/>
        </w:rPr>
        <w:t xml:space="preserve"> participants completed the survey. We excluded those who selected any answer other than “neither” for the question “Do you like the font of these instructions?” (i.e., IMC)</w:t>
      </w:r>
      <w:r w:rsidR="002510C0">
        <w:rPr>
          <w:color w:val="000000"/>
          <w:sz w:val="24"/>
        </w:rPr>
        <w:t>,</w:t>
      </w:r>
      <w:r>
        <w:rPr>
          <w:color w:val="000000"/>
          <w:sz w:val="24"/>
        </w:rPr>
        <w:t xml:space="preserve"> and those who gave incorrect responses to the numerical calculation question (i.e., ACQ). Further, we excluded participants who responded with 0 yen for WTP or market price because these values were to be used as denominators for division when conducting the analysis. Ultimately, data from 37</w:t>
      </w:r>
      <w:r w:rsidR="00BB7F1A">
        <w:rPr>
          <w:color w:val="000000"/>
          <w:sz w:val="24"/>
        </w:rPr>
        <w:t>6</w:t>
      </w:r>
      <w:r>
        <w:rPr>
          <w:color w:val="000000"/>
          <w:sz w:val="24"/>
        </w:rPr>
        <w:t xml:space="preserve"> participants were excluded, and data from 836 participants were analyzed.</w:t>
      </w:r>
    </w:p>
    <w:p w14:paraId="0AE43207" w14:textId="76509F9E" w:rsidR="00B62CE6" w:rsidRDefault="00076FA2">
      <w:pPr>
        <w:spacing w:line="276" w:lineRule="auto"/>
        <w:ind w:firstLine="230"/>
        <w:jc w:val="left"/>
        <w:rPr>
          <w:color w:val="000000"/>
          <w:sz w:val="24"/>
        </w:rPr>
      </w:pPr>
      <w:r>
        <w:rPr>
          <w:color w:val="000000"/>
          <w:sz w:val="24"/>
        </w:rPr>
        <w:t xml:space="preserve">Survey 2 participants were </w:t>
      </w:r>
      <w:r w:rsidR="002510C0">
        <w:rPr>
          <w:color w:val="000000"/>
          <w:sz w:val="24"/>
        </w:rPr>
        <w:t xml:space="preserve">also </w:t>
      </w:r>
      <w:r>
        <w:rPr>
          <w:color w:val="000000"/>
          <w:sz w:val="24"/>
        </w:rPr>
        <w:t>recruited using a crowdsourcing service. Power analysis using G*Power (</w:t>
      </w:r>
      <w:proofErr w:type="spellStart"/>
      <w:r>
        <w:rPr>
          <w:color w:val="000000"/>
          <w:sz w:val="24"/>
        </w:rPr>
        <w:t>Faul</w:t>
      </w:r>
      <w:proofErr w:type="spellEnd"/>
      <w:r>
        <w:rPr>
          <w:color w:val="000000"/>
          <w:sz w:val="24"/>
        </w:rPr>
        <w:t xml:space="preserve"> et al., 2007) resulted in an estimated sample size of 995 participants (multiple regression analysis; small effect size, Cohen’s </w:t>
      </w:r>
      <w:r>
        <w:rPr>
          <w:i/>
          <w:color w:val="000000"/>
          <w:sz w:val="24"/>
        </w:rPr>
        <w:t>f</w:t>
      </w:r>
      <w:r>
        <w:rPr>
          <w:color w:val="000000"/>
          <w:sz w:val="24"/>
          <w:vertAlign w:val="superscript"/>
        </w:rPr>
        <w:t>2</w:t>
      </w:r>
      <w:r>
        <w:rPr>
          <w:color w:val="000000"/>
          <w:sz w:val="24"/>
        </w:rPr>
        <w:t xml:space="preserve"> = 0.02, α = .05, 1-β = .95, five explanatory variables). In addition to the exclusion criteria from Survey 1 (31% exclusion rate in Survey 1), Survey 2 followed </w:t>
      </w:r>
      <w:proofErr w:type="spellStart"/>
      <w:r>
        <w:rPr>
          <w:color w:val="000000"/>
          <w:sz w:val="24"/>
        </w:rPr>
        <w:t>Walasek</w:t>
      </w:r>
      <w:proofErr w:type="spellEnd"/>
      <w:r>
        <w:rPr>
          <w:color w:val="000000"/>
          <w:sz w:val="24"/>
        </w:rPr>
        <w:t xml:space="preserve"> et al. (2015) to exclude participants who responded with a WTA of 10 times the market price or higher. Thus, we aimed to recruit 1,600 participants. A total of 1,555 </w:t>
      </w:r>
      <w:r>
        <w:rPr>
          <w:color w:val="000000"/>
          <w:sz w:val="24"/>
        </w:rPr>
        <w:lastRenderedPageBreak/>
        <w:t>participants completed the survey, of which data from 714 were excluded</w:t>
      </w:r>
      <w:r w:rsidR="002510C0">
        <w:rPr>
          <w:color w:val="000000"/>
          <w:sz w:val="24"/>
        </w:rPr>
        <w:t>, resulting in</w:t>
      </w:r>
      <w:r>
        <w:rPr>
          <w:color w:val="000000"/>
          <w:sz w:val="24"/>
        </w:rPr>
        <w:t xml:space="preserve"> </w:t>
      </w:r>
      <w:r w:rsidR="002510C0">
        <w:rPr>
          <w:color w:val="000000"/>
          <w:sz w:val="24"/>
        </w:rPr>
        <w:t xml:space="preserve">the analysis of </w:t>
      </w:r>
      <w:r>
        <w:rPr>
          <w:color w:val="000000"/>
          <w:sz w:val="24"/>
        </w:rPr>
        <w:t>data from 841 participants.</w:t>
      </w:r>
    </w:p>
    <w:p w14:paraId="6F5FE7FE" w14:textId="19A6CF65" w:rsidR="00B62CE6" w:rsidRDefault="00076FA2">
      <w:pPr>
        <w:spacing w:line="276" w:lineRule="auto"/>
        <w:ind w:firstLine="230"/>
        <w:jc w:val="left"/>
        <w:rPr>
          <w:color w:val="000000"/>
          <w:sz w:val="24"/>
        </w:rPr>
      </w:pPr>
      <w:r>
        <w:rPr>
          <w:color w:val="000000"/>
          <w:sz w:val="24"/>
        </w:rPr>
        <w:t xml:space="preserve">Survey 3 participants were recruited from university students. Power analysis using G*Power resulted in an estimated sample size of 138 (correlation analysis; two-tailed, medium effect size, </w:t>
      </w:r>
      <w:r>
        <w:rPr>
          <w:i/>
          <w:color w:val="000000"/>
          <w:sz w:val="24"/>
        </w:rPr>
        <w:t>r</w:t>
      </w:r>
      <w:r>
        <w:rPr>
          <w:color w:val="000000"/>
          <w:sz w:val="24"/>
        </w:rPr>
        <w:t xml:space="preserve"> = .03</w:t>
      </w:r>
      <w:r>
        <w:rPr>
          <w:rFonts w:ascii="ＭＳ 明朝" w:eastAsia="ＭＳ 明朝" w:hAnsi="ＭＳ 明朝" w:cs="ＭＳ 明朝"/>
          <w:color w:val="000000"/>
          <w:sz w:val="24"/>
        </w:rPr>
        <w:t>，</w:t>
      </w:r>
      <w:r>
        <w:rPr>
          <w:color w:val="000000"/>
          <w:sz w:val="24"/>
        </w:rPr>
        <w:t xml:space="preserve">α = .05, 1-β = .95). Assuming that participants who did not complete the second survey required to confirm test-retest reliability would be excluded in addition to the 31% exclusion rate from Survey 1, a class with 247 enrollees was recruited. The survey was administered twice, with a four-week interval. There were 205 participants in administration one and 194 in administration two. Of the 127 participants who provided complete answers at both administrations and were not excluded as satisficers, an additional 22 were excluded for thinking of different objects at administration one </w:t>
      </w:r>
      <w:r w:rsidR="002510C0">
        <w:rPr>
          <w:color w:val="000000"/>
          <w:sz w:val="24"/>
        </w:rPr>
        <w:t xml:space="preserve">than at </w:t>
      </w:r>
      <w:r>
        <w:rPr>
          <w:color w:val="000000"/>
          <w:sz w:val="24"/>
        </w:rPr>
        <w:t>administration two. Ultimately, data from 105 participants were analyzed.</w:t>
      </w:r>
    </w:p>
    <w:p w14:paraId="4D53F6FB" w14:textId="77777777" w:rsidR="00B62CE6" w:rsidRDefault="00B62CE6" w:rsidP="00FE25F8">
      <w:pPr>
        <w:spacing w:line="276" w:lineRule="auto"/>
        <w:jc w:val="left"/>
        <w:rPr>
          <w:color w:val="000000"/>
          <w:sz w:val="24"/>
        </w:rPr>
      </w:pPr>
    </w:p>
    <w:p w14:paraId="2936D0D4" w14:textId="77777777" w:rsidR="00B62CE6" w:rsidRPr="00FE25F8" w:rsidRDefault="00076FA2" w:rsidP="00396616">
      <w:pPr>
        <w:spacing w:line="276" w:lineRule="auto"/>
        <w:jc w:val="left"/>
        <w:rPr>
          <w:rFonts w:ascii="Arial" w:eastAsia="Arial" w:hAnsi="Arial" w:cs="Arial"/>
          <w:b/>
          <w:color w:val="000000"/>
          <w:sz w:val="28"/>
          <w:szCs w:val="28"/>
        </w:rPr>
      </w:pPr>
      <w:r w:rsidRPr="00FE25F8">
        <w:rPr>
          <w:rFonts w:ascii="Arial" w:eastAsia="Arial" w:hAnsi="Arial" w:cs="Arial"/>
          <w:b/>
          <w:color w:val="000000"/>
          <w:sz w:val="28"/>
          <w:szCs w:val="28"/>
        </w:rPr>
        <w:t>Study 2</w:t>
      </w:r>
    </w:p>
    <w:p w14:paraId="36F62018" w14:textId="334BB754" w:rsidR="00B62CE6" w:rsidRDefault="00076FA2" w:rsidP="00FE25F8">
      <w:pPr>
        <w:spacing w:line="276" w:lineRule="auto"/>
        <w:jc w:val="left"/>
        <w:rPr>
          <w:color w:val="000000"/>
          <w:sz w:val="24"/>
        </w:rPr>
      </w:pPr>
      <w:r>
        <w:rPr>
          <w:color w:val="000000"/>
          <w:sz w:val="24"/>
        </w:rPr>
        <w:t xml:space="preserve">We assumed that we would compare the means of two different groups. Power analysis using G*Power resulted in an estimated sample size of 105 participants for each group (total 210 participants) (two-tailed, Cohen’s d = 0.5, α = .05, 1-β = .95, Allocation ratio = 1), which was selected as the required sample size. As the experiment was conducted as part of a class with 253 college students, the maximum sample size was 253. </w:t>
      </w:r>
      <w:r>
        <w:rPr>
          <w:sz w:val="24"/>
        </w:rPr>
        <w:t>Data from 252 students were analyzed, excluding one student with missing responses to the POS-J questions.</w:t>
      </w:r>
    </w:p>
    <w:p w14:paraId="1B3A12B6" w14:textId="77777777" w:rsidR="00B62CE6" w:rsidRDefault="00B62CE6" w:rsidP="00396616">
      <w:pPr>
        <w:spacing w:line="276" w:lineRule="auto"/>
        <w:ind w:firstLine="237"/>
        <w:jc w:val="left"/>
        <w:rPr>
          <w:color w:val="000000"/>
          <w:sz w:val="24"/>
        </w:rPr>
      </w:pPr>
    </w:p>
    <w:p w14:paraId="1DEC895D" w14:textId="7DC784B8" w:rsidR="00B62CE6" w:rsidRPr="00FE25F8" w:rsidRDefault="00076FA2">
      <w:pPr>
        <w:spacing w:line="276" w:lineRule="auto"/>
        <w:jc w:val="left"/>
        <w:rPr>
          <w:rFonts w:ascii="Arial" w:eastAsia="Arial" w:hAnsi="Arial" w:cs="Arial"/>
          <w:b/>
          <w:color w:val="000000"/>
          <w:sz w:val="28"/>
          <w:szCs w:val="28"/>
        </w:rPr>
      </w:pPr>
      <w:r w:rsidRPr="00FE25F8">
        <w:rPr>
          <w:rFonts w:ascii="Arial" w:eastAsia="Arial" w:hAnsi="Arial" w:cs="Arial"/>
          <w:b/>
          <w:color w:val="000000"/>
          <w:sz w:val="28"/>
          <w:szCs w:val="28"/>
        </w:rPr>
        <w:t>Reference</w:t>
      </w:r>
      <w:r w:rsidR="002510C0" w:rsidRPr="00FE25F8">
        <w:rPr>
          <w:rFonts w:ascii="Arial" w:eastAsia="Arial" w:hAnsi="Arial" w:cs="Arial"/>
          <w:b/>
          <w:color w:val="000000"/>
          <w:sz w:val="28"/>
          <w:szCs w:val="28"/>
        </w:rPr>
        <w:t>s</w:t>
      </w:r>
    </w:p>
    <w:p w14:paraId="165E85EF" w14:textId="49CB1E1D" w:rsidR="00B62CE6" w:rsidRDefault="00076FA2">
      <w:pPr>
        <w:spacing w:line="276" w:lineRule="auto"/>
        <w:ind w:left="720" w:hanging="720"/>
        <w:jc w:val="left"/>
        <w:rPr>
          <w:color w:val="000000"/>
          <w:sz w:val="24"/>
        </w:rPr>
      </w:pPr>
      <w:proofErr w:type="spellStart"/>
      <w:r>
        <w:rPr>
          <w:color w:val="000000"/>
          <w:sz w:val="24"/>
        </w:rPr>
        <w:t>Faul</w:t>
      </w:r>
      <w:proofErr w:type="spellEnd"/>
      <w:r>
        <w:rPr>
          <w:color w:val="000000"/>
          <w:sz w:val="24"/>
        </w:rPr>
        <w:t xml:space="preserve"> F, </w:t>
      </w:r>
      <w:proofErr w:type="spellStart"/>
      <w:r>
        <w:rPr>
          <w:color w:val="000000"/>
          <w:sz w:val="24"/>
        </w:rPr>
        <w:t>Erdfelder</w:t>
      </w:r>
      <w:proofErr w:type="spellEnd"/>
      <w:r>
        <w:rPr>
          <w:color w:val="000000"/>
          <w:sz w:val="24"/>
        </w:rPr>
        <w:t xml:space="preserve"> E, Lang AG, Buchner A. 2007. G*Power 3: </w:t>
      </w:r>
      <w:r w:rsidR="00FE25F8">
        <w:rPr>
          <w:color w:val="000000"/>
          <w:sz w:val="24"/>
        </w:rPr>
        <w:t xml:space="preserve">A </w:t>
      </w:r>
      <w:r>
        <w:rPr>
          <w:color w:val="000000"/>
          <w:sz w:val="24"/>
        </w:rPr>
        <w:t xml:space="preserve">flexible statistical power analysis program for the social, behavioral, and biomedical sciences. </w:t>
      </w:r>
      <w:r>
        <w:rPr>
          <w:i/>
          <w:color w:val="000000"/>
          <w:sz w:val="24"/>
        </w:rPr>
        <w:t>Behavior Research Methods</w:t>
      </w:r>
      <w:r>
        <w:rPr>
          <w:color w:val="000000"/>
          <w:sz w:val="24"/>
        </w:rPr>
        <w:t xml:space="preserve"> 39:175–191.</w:t>
      </w:r>
    </w:p>
    <w:p w14:paraId="34BEAD35" w14:textId="7C0BF062" w:rsidR="00B62CE6" w:rsidRDefault="00076FA2">
      <w:pPr>
        <w:spacing w:line="276" w:lineRule="auto"/>
        <w:ind w:left="720" w:hanging="720"/>
        <w:jc w:val="left"/>
        <w:rPr>
          <w:color w:val="000000"/>
          <w:sz w:val="24"/>
        </w:rPr>
      </w:pPr>
      <w:r>
        <w:rPr>
          <w:color w:val="000000"/>
          <w:sz w:val="24"/>
        </w:rPr>
        <w:t>Hair JF, Jr., Anderson RE, Tatham RL, Black WC. 1995. Multivariate data analysis (4th ed.). Saddle River, NJ: Prentice Hall.</w:t>
      </w:r>
    </w:p>
    <w:p w14:paraId="12078886" w14:textId="480B9753" w:rsidR="00B62CE6" w:rsidRDefault="00076FA2">
      <w:pPr>
        <w:spacing w:line="276" w:lineRule="auto"/>
        <w:ind w:left="720" w:hanging="720"/>
        <w:jc w:val="left"/>
        <w:rPr>
          <w:sz w:val="24"/>
        </w:rPr>
      </w:pPr>
      <w:proofErr w:type="spellStart"/>
      <w:r>
        <w:rPr>
          <w:sz w:val="24"/>
        </w:rPr>
        <w:lastRenderedPageBreak/>
        <w:t>Iwasa</w:t>
      </w:r>
      <w:proofErr w:type="spellEnd"/>
      <w:r>
        <w:rPr>
          <w:sz w:val="24"/>
        </w:rPr>
        <w:t xml:space="preserve"> K, Tanaka T, Yamada Y. 2016. Factor structure, reliability, and validity of the Japanese version of the disgust propensity and sensitivity </w:t>
      </w:r>
      <w:proofErr w:type="gramStart"/>
      <w:r>
        <w:rPr>
          <w:sz w:val="24"/>
        </w:rPr>
        <w:t>scale-revised</w:t>
      </w:r>
      <w:proofErr w:type="gramEnd"/>
      <w:r>
        <w:rPr>
          <w:sz w:val="24"/>
        </w:rPr>
        <w:t xml:space="preserve">. </w:t>
      </w:r>
      <w:r>
        <w:rPr>
          <w:i/>
          <w:sz w:val="24"/>
        </w:rPr>
        <w:t>PLOS ONE</w:t>
      </w:r>
      <w:r>
        <w:rPr>
          <w:sz w:val="24"/>
        </w:rPr>
        <w:t xml:space="preserve"> </w:t>
      </w:r>
      <w:proofErr w:type="gramStart"/>
      <w:r>
        <w:rPr>
          <w:sz w:val="24"/>
        </w:rPr>
        <w:t>11:e</w:t>
      </w:r>
      <w:proofErr w:type="gramEnd"/>
      <w:r>
        <w:rPr>
          <w:sz w:val="24"/>
        </w:rPr>
        <w:t>0164630.</w:t>
      </w:r>
    </w:p>
    <w:p w14:paraId="460D2DFC" w14:textId="79CC33CB" w:rsidR="00B62CE6" w:rsidRDefault="00076FA2">
      <w:pPr>
        <w:spacing w:line="276" w:lineRule="auto"/>
        <w:ind w:left="720" w:hanging="720"/>
        <w:jc w:val="left"/>
        <w:rPr>
          <w:color w:val="000000"/>
          <w:sz w:val="24"/>
        </w:rPr>
      </w:pPr>
      <w:r>
        <w:rPr>
          <w:color w:val="000000"/>
          <w:sz w:val="24"/>
        </w:rPr>
        <w:t xml:space="preserve">Oppenheimer DM, </w:t>
      </w:r>
      <w:proofErr w:type="spellStart"/>
      <w:r>
        <w:rPr>
          <w:color w:val="000000"/>
          <w:sz w:val="24"/>
        </w:rPr>
        <w:t>Meyvis</w:t>
      </w:r>
      <w:proofErr w:type="spellEnd"/>
      <w:r>
        <w:rPr>
          <w:color w:val="000000"/>
          <w:sz w:val="24"/>
        </w:rPr>
        <w:t xml:space="preserve"> T, </w:t>
      </w:r>
      <w:proofErr w:type="spellStart"/>
      <w:r>
        <w:rPr>
          <w:color w:val="000000"/>
          <w:sz w:val="24"/>
        </w:rPr>
        <w:t>Davidenko</w:t>
      </w:r>
      <w:proofErr w:type="spellEnd"/>
      <w:r>
        <w:rPr>
          <w:color w:val="000000"/>
          <w:sz w:val="24"/>
        </w:rPr>
        <w:t xml:space="preserve"> N. 2009. Instructional manipulation checks: Detecting satisficing to increase statistical power. </w:t>
      </w:r>
      <w:r>
        <w:rPr>
          <w:i/>
          <w:color w:val="000000"/>
          <w:sz w:val="24"/>
        </w:rPr>
        <w:t xml:space="preserve">Journal of Experimental Social Psychology </w:t>
      </w:r>
      <w:r>
        <w:rPr>
          <w:color w:val="000000"/>
          <w:sz w:val="24"/>
        </w:rPr>
        <w:t>45:867–872.</w:t>
      </w:r>
    </w:p>
    <w:p w14:paraId="02A9E3F5" w14:textId="5C8FC241" w:rsidR="00B62CE6" w:rsidRDefault="00076FA2">
      <w:pPr>
        <w:spacing w:line="276" w:lineRule="auto"/>
        <w:ind w:left="720" w:hanging="720"/>
        <w:jc w:val="left"/>
        <w:rPr>
          <w:color w:val="333333"/>
          <w:sz w:val="24"/>
        </w:rPr>
      </w:pPr>
      <w:proofErr w:type="spellStart"/>
      <w:r>
        <w:rPr>
          <w:color w:val="000000"/>
          <w:sz w:val="24"/>
        </w:rPr>
        <w:t>Walasek</w:t>
      </w:r>
      <w:proofErr w:type="spellEnd"/>
      <w:r>
        <w:rPr>
          <w:color w:val="000000"/>
          <w:sz w:val="24"/>
        </w:rPr>
        <w:t xml:space="preserve"> L, Matthews WJ, </w:t>
      </w:r>
      <w:proofErr w:type="spellStart"/>
      <w:r>
        <w:rPr>
          <w:color w:val="000000"/>
          <w:sz w:val="24"/>
        </w:rPr>
        <w:t>Rakow</w:t>
      </w:r>
      <w:proofErr w:type="spellEnd"/>
      <w:r>
        <w:rPr>
          <w:color w:val="000000"/>
          <w:sz w:val="24"/>
        </w:rPr>
        <w:t xml:space="preserve"> T. 2015. The need to belong and the value of belongings: Does ostracism change the subjective value of personal possessions? </w:t>
      </w:r>
      <w:r>
        <w:rPr>
          <w:i/>
          <w:color w:val="000000"/>
          <w:sz w:val="24"/>
        </w:rPr>
        <w:t xml:space="preserve">Journal of Behavioral and Experimental Economics </w:t>
      </w:r>
      <w:r>
        <w:rPr>
          <w:color w:val="000000"/>
          <w:sz w:val="24"/>
        </w:rPr>
        <w:t>58:195–204.</w:t>
      </w:r>
    </w:p>
    <w:sectPr w:rsidR="00B62CE6" w:rsidSect="00FE25F8">
      <w:footerReference w:type="default" r:id="rId8"/>
      <w:pgSz w:w="12240" w:h="15840" w:code="1"/>
      <w:pgMar w:top="1417" w:right="1417" w:bottom="1417" w:left="1417" w:header="850" w:footer="994"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7CC9" w14:textId="77777777" w:rsidR="002B70DC" w:rsidRDefault="002B70DC">
      <w:r>
        <w:separator/>
      </w:r>
    </w:p>
  </w:endnote>
  <w:endnote w:type="continuationSeparator" w:id="0">
    <w:p w14:paraId="2F6F84FC" w14:textId="77777777" w:rsidR="002B70DC" w:rsidRDefault="002B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8640" w14:textId="77777777" w:rsidR="00B62CE6" w:rsidRDefault="00076FA2">
    <w:pPr>
      <w:pStyle w:val="ac"/>
      <w:jc w:val="center"/>
    </w:pPr>
    <w:r>
      <w:fldChar w:fldCharType="begin"/>
    </w:r>
    <w:r>
      <w:instrText>PAGE   \* MERGEFORMAT</w:instrText>
    </w:r>
    <w:r>
      <w:fldChar w:fldCharType="separate"/>
    </w:r>
    <w:r>
      <w:t>2</w:t>
    </w:r>
    <w:r>
      <w:fldChar w:fldCharType="end"/>
    </w:r>
  </w:p>
  <w:p w14:paraId="198E2FCD" w14:textId="77777777" w:rsidR="00B62CE6" w:rsidRDefault="00B62CE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B543" w14:textId="77777777" w:rsidR="002B70DC" w:rsidRDefault="002B70DC">
      <w:r>
        <w:separator/>
      </w:r>
    </w:p>
  </w:footnote>
  <w:footnote w:type="continuationSeparator" w:id="0">
    <w:p w14:paraId="3561D0C5" w14:textId="77777777" w:rsidR="002B70DC" w:rsidRDefault="002B7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64AB"/>
    <w:multiLevelType w:val="multilevel"/>
    <w:tmpl w:val="FD960FBC"/>
    <w:lvl w:ilvl="0">
      <w:start w:val="1"/>
      <w:numFmt w:val="decimal"/>
      <w:lvlText w:val="%1．"/>
      <w:lvlJc w:val="left"/>
      <w:pPr>
        <w:ind w:left="425" w:hanging="425"/>
      </w:pPr>
      <w:rPr>
        <w:sz w:val="21"/>
      </w:rPr>
    </w:lvl>
    <w:lvl w:ilvl="1">
      <w:start w:val="1"/>
      <w:numFmt w:val="decimal"/>
      <w:lvlText w:val="%1.%2"/>
      <w:lvlJc w:val="left"/>
      <w:pPr>
        <w:ind w:left="992" w:hanging="992"/>
      </w:pPr>
      <w:rPr>
        <w:sz w:val="21"/>
      </w:rPr>
    </w:lvl>
    <w:lvl w:ilvl="2">
      <w:start w:val="1"/>
      <w:numFmt w:val="decimal"/>
      <w:lvlText w:val="%1.%2.%3"/>
      <w:lvlJc w:val="left"/>
      <w:pPr>
        <w:ind w:left="299"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479B645C"/>
    <w:multiLevelType w:val="multilevel"/>
    <w:tmpl w:val="E35610B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65FEC0B4"/>
    <w:multiLevelType w:val="multilevel"/>
    <w:tmpl w:val="DCF2AC04"/>
    <w:lvl w:ilvl="0">
      <w:start w:val="3"/>
      <w:numFmt w:val="decimal"/>
      <w:lvlText w:val="第%1章"/>
      <w:lvlJc w:val="left"/>
      <w:pPr>
        <w:ind w:left="0" w:firstLine="0"/>
      </w:pPr>
    </w:lvl>
    <w:lvl w:ilvl="1">
      <w:start w:val="1"/>
      <w:numFmt w:val="decimal"/>
      <w:lvlText w:val="3.%2."/>
      <w:lvlJc w:val="left"/>
      <w:pPr>
        <w:ind w:left="0" w:firstLine="0"/>
      </w:pPr>
      <w:rPr>
        <w:b/>
      </w:rPr>
    </w:lvl>
    <w:lvl w:ilvl="2">
      <w:start w:val="1"/>
      <w:numFmt w:val="decimal"/>
      <w:lvlText w:val="3.%2.%3."/>
      <w:lvlJc w:val="left"/>
      <w:pPr>
        <w:ind w:left="397" w:hanging="397"/>
      </w:pPr>
      <w:rPr>
        <w:b/>
      </w:rPr>
    </w:lvl>
    <w:lvl w:ilvl="3">
      <w:start w:val="1"/>
      <w:numFmt w:val="decimal"/>
      <w:lvlText w:val=""/>
      <w:lvlJc w:val="left"/>
      <w:pPr>
        <w:ind w:left="0" w:firstLine="0"/>
      </w:pPr>
    </w:lvl>
    <w:lvl w:ilvl="4">
      <w:start w:val="1"/>
      <w:numFmt w:val="decimal"/>
      <w:lvlText w:val="　"/>
      <w:lvlJc w:val="left"/>
      <w:pPr>
        <w:ind w:left="0" w:firstLine="0"/>
      </w:pPr>
    </w:lvl>
    <w:lvl w:ilvl="5">
      <w:start w:val="1"/>
      <w:numFmt w:val="decimal"/>
      <w:lvlText w:val=""/>
      <w:lvlJc w:val="left"/>
      <w:pPr>
        <w:ind w:left="1134" w:hanging="1134"/>
      </w:pPr>
    </w:lvl>
    <w:lvl w:ilvl="6">
      <w:start w:val="1"/>
      <w:numFmt w:val="decimal"/>
      <w:lvlText w:val=""/>
      <w:lvlJc w:val="left"/>
      <w:pPr>
        <w:ind w:left="1276" w:hanging="1276"/>
      </w:pPr>
    </w:lvl>
    <w:lvl w:ilvl="7">
      <w:start w:val="1"/>
      <w:numFmt w:val="decimal"/>
      <w:lvlText w:val=""/>
      <w:lvlJc w:val="left"/>
      <w:pPr>
        <w:ind w:left="1418" w:hanging="1418"/>
      </w:pPr>
    </w:lvl>
    <w:lvl w:ilvl="8">
      <w:start w:val="1"/>
      <w:numFmt w:val="decimal"/>
      <w:lvlText w:val=""/>
      <w:lvlJc w:val="left"/>
      <w:pPr>
        <w:ind w:left="1559" w:hanging="1559"/>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1NDEwNjWyMDSwsDRV0lEKTi0uzszPAykwqgUAV2ulcywAAAA="/>
  </w:docVars>
  <w:rsids>
    <w:rsidRoot w:val="00B62CE6"/>
    <w:rsid w:val="00076FA2"/>
    <w:rsid w:val="002510C0"/>
    <w:rsid w:val="002B70DC"/>
    <w:rsid w:val="00396616"/>
    <w:rsid w:val="007A6337"/>
    <w:rsid w:val="00860226"/>
    <w:rsid w:val="00964BCB"/>
    <w:rsid w:val="00B62CE6"/>
    <w:rsid w:val="00BB7F1A"/>
    <w:rsid w:val="00FE25F8"/>
    <w:rsid w:val="00FE60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D2D5E9"/>
  <w15:docId w15:val="{3B1AA1C8-5CC0-42B5-9B3D-E342FAA8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Times New Roman" w:hAnsi="Times New Roman" w:cs="Times New Roman"/>
    </w:rPr>
  </w:style>
  <w:style w:type="paragraph" w:styleId="1">
    <w:name w:val="heading 1"/>
    <w:basedOn w:val="a"/>
    <w:qFormat/>
    <w:pPr>
      <w:keepNext/>
      <w:jc w:val="center"/>
      <w:outlineLvl w:val="0"/>
    </w:pPr>
    <w:rPr>
      <w:rFonts w:ascii="游ゴシック Light" w:eastAsia="游ゴシック Light" w:hAnsi="游ゴシック Light" w:cs="游ゴシック Light"/>
      <w:b/>
    </w:rPr>
  </w:style>
  <w:style w:type="paragraph" w:styleId="2">
    <w:name w:val="heading 2"/>
    <w:basedOn w:val="1"/>
    <w:qFormat/>
    <w:pPr>
      <w:jc w:val="both"/>
      <w:outlineLvl w:val="1"/>
    </w:pPr>
  </w:style>
  <w:style w:type="paragraph" w:styleId="3">
    <w:name w:val="heading 3"/>
    <w:basedOn w:val="a"/>
    <w:qFormat/>
    <w:pPr>
      <w:keepNext/>
      <w:ind w:left="190" w:right="100"/>
      <w:outlineLvl w:val="2"/>
    </w:pPr>
    <w:rPr>
      <w:rFonts w:ascii="游ゴシック Light" w:eastAsia="游ゴシック Light" w:hAnsi="游ゴシック Light" w:cs="游ゴシック Light"/>
      <w:b/>
    </w:rPr>
  </w:style>
  <w:style w:type="paragraph" w:styleId="4">
    <w:name w:val="heading 4"/>
    <w:basedOn w:val="a"/>
    <w:pPr>
      <w:keepNext/>
      <w:ind w:left="4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style>
  <w:style w:type="paragraph" w:styleId="20">
    <w:name w:val="toc 2"/>
    <w:basedOn w:val="a"/>
    <w:pPr>
      <w:ind w:left="210"/>
    </w:pPr>
  </w:style>
  <w:style w:type="paragraph" w:styleId="30">
    <w:name w:val="toc 3"/>
    <w:basedOn w:val="a"/>
    <w:pPr>
      <w:ind w:left="420"/>
    </w:pPr>
  </w:style>
  <w:style w:type="paragraph" w:customStyle="1" w:styleId="TOC41">
    <w:name w:val="TOC 41"/>
    <w:basedOn w:val="a"/>
    <w:pPr>
      <w:spacing w:line="330" w:lineRule="exact"/>
    </w:pPr>
    <w:rPr>
      <w:rFonts w:ascii="Calibri" w:eastAsia="Calibri" w:hAnsi="Calibri" w:cs="Calibri"/>
    </w:rPr>
  </w:style>
  <w:style w:type="paragraph" w:customStyle="1" w:styleId="TOC51">
    <w:name w:val="TOC 51"/>
    <w:basedOn w:val="a"/>
    <w:pPr>
      <w:spacing w:line="330" w:lineRule="exact"/>
    </w:pPr>
    <w:rPr>
      <w:rFonts w:ascii="Calibri" w:eastAsia="Calibri" w:hAnsi="Calibri" w:cs="Calibri"/>
    </w:rPr>
  </w:style>
  <w:style w:type="paragraph" w:customStyle="1" w:styleId="TOC61">
    <w:name w:val="TOC 61"/>
    <w:basedOn w:val="a"/>
    <w:pPr>
      <w:spacing w:line="330" w:lineRule="exact"/>
    </w:pPr>
    <w:rPr>
      <w:rFonts w:ascii="Calibri" w:eastAsia="Calibri" w:hAnsi="Calibri" w:cs="Calibri"/>
    </w:rPr>
  </w:style>
  <w:style w:type="paragraph" w:customStyle="1" w:styleId="TOC71">
    <w:name w:val="TOC 71"/>
    <w:basedOn w:val="a"/>
    <w:pPr>
      <w:spacing w:line="330" w:lineRule="exact"/>
    </w:pPr>
    <w:rPr>
      <w:rFonts w:ascii="Calibri" w:eastAsia="Calibri" w:hAnsi="Calibri" w:cs="Calibri"/>
    </w:rPr>
  </w:style>
  <w:style w:type="paragraph" w:customStyle="1" w:styleId="TOC81">
    <w:name w:val="TOC 81"/>
    <w:basedOn w:val="a"/>
    <w:pPr>
      <w:spacing w:line="330" w:lineRule="exact"/>
    </w:pPr>
    <w:rPr>
      <w:rFonts w:ascii="Calibri" w:eastAsia="Calibri" w:hAnsi="Calibri" w:cs="Calibri"/>
    </w:rPr>
  </w:style>
  <w:style w:type="paragraph" w:customStyle="1" w:styleId="TOC91">
    <w:name w:val="TOC 91"/>
    <w:basedOn w:val="a"/>
    <w:pPr>
      <w:spacing w:line="330" w:lineRule="exact"/>
    </w:pPr>
    <w:rPr>
      <w:rFonts w:ascii="Calibri" w:eastAsia="Calibri" w:hAnsi="Calibri" w:cs="Calibri"/>
    </w:r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ldDefaultTableStyle">
    <w:name w:val="Old Default Table Style"/>
    <w:tblPr>
      <w:tblOverlap w:val="never"/>
      <w:tblCellMar>
        <w:top w:w="0" w:type="dxa"/>
        <w:left w:w="10" w:type="dxa"/>
        <w:bottom w:w="0" w:type="dxa"/>
        <w:right w:w="10" w:type="dxa"/>
      </w:tblCellMar>
    </w:tblPr>
  </w:style>
  <w:style w:type="character" w:customStyle="1" w:styleId="CommentReference1">
    <w:name w:val="Comment Reference1"/>
    <w:basedOn w:val="a0"/>
    <w:rPr>
      <w:sz w:val="16"/>
    </w:rPr>
  </w:style>
  <w:style w:type="character" w:styleId="a4">
    <w:name w:val="endnote reference"/>
    <w:basedOn w:val="a0"/>
    <w:rPr>
      <w:vertAlign w:val="superscript"/>
    </w:rPr>
  </w:style>
  <w:style w:type="character" w:styleId="a5">
    <w:name w:val="footnote reference"/>
    <w:basedOn w:val="a0"/>
    <w:rPr>
      <w:vertAlign w:val="superscript"/>
    </w:rPr>
  </w:style>
  <w:style w:type="paragraph" w:styleId="a6">
    <w:name w:val="List Paragraph"/>
    <w:basedOn w:val="a"/>
    <w:pPr>
      <w:ind w:left="840"/>
    </w:pPr>
  </w:style>
  <w:style w:type="paragraph" w:customStyle="1" w:styleId="11">
    <w:name w:val="スタイル1"/>
    <w:basedOn w:val="a"/>
    <w:pPr>
      <w:ind w:left="340" w:right="340"/>
    </w:pPr>
    <w:rPr>
      <w:b/>
    </w:rPr>
  </w:style>
  <w:style w:type="paragraph" w:styleId="a7">
    <w:name w:val="No Spacing"/>
    <w:pPr>
      <w:widowControl w:val="0"/>
      <w:jc w:val="both"/>
    </w:pPr>
    <w:rPr>
      <w:rFonts w:ascii="Times New Roman" w:eastAsia="Times New Roman" w:hAnsi="Times New Roman" w:cs="Times New Roman"/>
    </w:rPr>
  </w:style>
  <w:style w:type="paragraph" w:styleId="a8">
    <w:name w:val="Balloon Text"/>
    <w:basedOn w:val="a"/>
    <w:rPr>
      <w:rFonts w:ascii="游ゴシック Light" w:eastAsia="游ゴシック Light" w:hAnsi="游ゴシック Light" w:cs="游ゴシック Light"/>
      <w:sz w:val="18"/>
    </w:rPr>
  </w:style>
  <w:style w:type="character" w:styleId="a9">
    <w:name w:val="annotation reference"/>
    <w:basedOn w:val="a0"/>
    <w:rPr>
      <w:sz w:val="18"/>
    </w:rPr>
  </w:style>
  <w:style w:type="paragraph" w:styleId="aa">
    <w:name w:val="annotation text"/>
    <w:basedOn w:val="a"/>
    <w:pPr>
      <w:jc w:val="left"/>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TOC Heading"/>
    <w:basedOn w:val="1"/>
    <w:pPr>
      <w:keepLines/>
      <w:widowControl/>
      <w:spacing w:before="240" w:line="259" w:lineRule="auto"/>
      <w:jc w:val="left"/>
      <w:outlineLvl w:val="9"/>
    </w:pPr>
    <w:rPr>
      <w:b w:val="0"/>
      <w:color w:val="2E74B5"/>
      <w:sz w:val="32"/>
    </w:rPr>
  </w:style>
  <w:style w:type="character" w:styleId="ae">
    <w:name w:val="Hyperlink"/>
    <w:basedOn w:val="a0"/>
    <w:rPr>
      <w:color w:val="0563C1"/>
      <w:u w:val="single"/>
    </w:rPr>
  </w:style>
  <w:style w:type="paragraph" w:styleId="af">
    <w:name w:val="annotation subject"/>
    <w:basedOn w:val="aa"/>
    <w:rPr>
      <w:b/>
    </w:rPr>
  </w:style>
  <w:style w:type="paragraph" w:styleId="af0">
    <w:name w:val="footnote text"/>
    <w:basedOn w:val="a"/>
    <w:pPr>
      <w:snapToGrid w:val="0"/>
      <w:jc w:val="left"/>
    </w:pPr>
  </w:style>
  <w:style w:type="paragraph" w:styleId="af1">
    <w:name w:val="Revision"/>
    <w:rPr>
      <w:rFonts w:ascii="Times New Roman" w:eastAsia="Times New Roman" w:hAnsi="Times New Roman" w:cs="Times New Roman"/>
    </w:rPr>
  </w:style>
  <w:style w:type="character" w:styleId="af2">
    <w:name w:val="line number"/>
    <w:basedOn w:val="a0"/>
  </w:style>
  <w:style w:type="paragraph" w:styleId="af3">
    <w:name w:val="endnote text"/>
    <w:basedOn w:val="a"/>
    <w:pPr>
      <w:snapToGrid w:val="0"/>
      <w:jc w:val="left"/>
    </w:pPr>
  </w:style>
  <w:style w:type="paragraph" w:customStyle="1" w:styleId="TableList">
    <w:name w:val="Table List"/>
    <w:basedOn w:val="a"/>
    <w:pPr>
      <w:ind w:left="300" w:hanging="300"/>
      <w:jc w:val="left"/>
    </w:pPr>
    <w:rPr>
      <w:rFonts w:ascii="Calibri" w:eastAsia="Calibri" w:hAnsi="Calibri" w:cs="Calibri"/>
      <w:sz w:val="20"/>
    </w:rPr>
  </w:style>
  <w:style w:type="character" w:customStyle="1" w:styleId="GivenName">
    <w:name w:val="Given Name"/>
    <w:basedOn w:val="a0"/>
    <w:rPr>
      <w:shd w:val="clear" w:color="auto" w:fill="D0FCE2"/>
    </w:rPr>
  </w:style>
  <w:style w:type="character" w:customStyle="1" w:styleId="FamilyName">
    <w:name w:val="Family Name"/>
    <w:basedOn w:val="a0"/>
    <w:rPr>
      <w:shd w:val="clear" w:color="auto" w:fill="88F4BE"/>
    </w:rPr>
  </w:style>
  <w:style w:type="numbering" w:customStyle="1" w:styleId="List8">
    <w:name w:val="List 8"/>
  </w:style>
  <w:style w:type="character" w:customStyle="1" w:styleId="Cross-reference">
    <w:name w:val="Cross-reference"/>
    <w:basedOn w:val="a0"/>
    <w:rPr>
      <w:shd w:val="clear" w:color="auto" w:fill="FFE3C9"/>
    </w:rPr>
  </w:style>
  <w:style w:type="character" w:customStyle="1" w:styleId="Postcode">
    <w:name w:val="Postcode"/>
    <w:basedOn w:val="a0"/>
    <w:rPr>
      <w:shd w:val="clear" w:color="auto" w:fill="BEBEBE"/>
    </w:rPr>
  </w:style>
  <w:style w:type="paragraph" w:customStyle="1" w:styleId="Authors">
    <w:name w:val="Authors"/>
    <w:basedOn w:val="a"/>
    <w:pPr>
      <w:spacing w:before="360" w:after="120" w:line="283" w:lineRule="auto"/>
      <w:jc w:val="left"/>
    </w:pPr>
    <w:rPr>
      <w:rFonts w:ascii="Calibri" w:eastAsia="Calibri" w:hAnsi="Calibri" w:cs="Calibri"/>
      <w:sz w:val="28"/>
    </w:rPr>
  </w:style>
  <w:style w:type="character" w:customStyle="1" w:styleId="GrantID">
    <w:name w:val="Grant ID"/>
    <w:basedOn w:val="a0"/>
    <w:rPr>
      <w:shd w:val="clear" w:color="auto" w:fill="DDA5FF"/>
    </w:rPr>
  </w:style>
  <w:style w:type="paragraph" w:customStyle="1" w:styleId="Annotation">
    <w:name w:val="Annotation"/>
    <w:basedOn w:val="a"/>
    <w:pPr>
      <w:spacing w:after="160" w:line="360" w:lineRule="auto"/>
      <w:ind w:left="400"/>
      <w:jc w:val="left"/>
    </w:pPr>
    <w:rPr>
      <w:rFonts w:ascii="Calibri" w:eastAsia="Calibri" w:hAnsi="Calibri" w:cs="Calibri"/>
      <w:sz w:val="22"/>
    </w:rPr>
  </w:style>
  <w:style w:type="paragraph" w:customStyle="1" w:styleId="Note">
    <w:name w:val="Note"/>
    <w:basedOn w:val="a"/>
    <w:pPr>
      <w:shd w:val="clear" w:color="auto" w:fill="EDF0FF"/>
      <w:spacing w:line="432" w:lineRule="auto"/>
    </w:pPr>
    <w:rPr>
      <w:rFonts w:ascii="Calibri" w:eastAsia="Calibri" w:hAnsi="Calibri" w:cs="Calibri"/>
      <w:sz w:val="20"/>
      <w:shd w:val="clear" w:color="auto" w:fill="EDF0FF"/>
    </w:rPr>
  </w:style>
  <w:style w:type="paragraph" w:customStyle="1" w:styleId="Copyright">
    <w:name w:val="Copyright"/>
    <w:basedOn w:val="a"/>
    <w:pPr>
      <w:shd w:val="clear" w:color="auto" w:fill="E9F9FF"/>
    </w:pPr>
    <w:rPr>
      <w:rFonts w:ascii="Calibri" w:eastAsia="Calibri" w:hAnsi="Calibri" w:cs="Calibri"/>
      <w:sz w:val="18"/>
      <w:shd w:val="clear" w:color="auto" w:fill="E9F9FF"/>
    </w:rPr>
  </w:style>
  <w:style w:type="paragraph" w:customStyle="1" w:styleId="Formula">
    <w:name w:val="Formula"/>
    <w:basedOn w:val="a"/>
    <w:pPr>
      <w:shd w:val="clear" w:color="auto" w:fill="FFF5ED"/>
      <w:spacing w:before="120" w:after="120" w:line="360" w:lineRule="auto"/>
      <w:jc w:val="left"/>
    </w:pPr>
    <w:rPr>
      <w:rFonts w:ascii="Calibri" w:eastAsia="Calibri" w:hAnsi="Calibri" w:cs="Calibri"/>
      <w:sz w:val="22"/>
      <w:shd w:val="clear" w:color="auto" w:fill="FFF5ED"/>
    </w:rPr>
  </w:style>
  <w:style w:type="paragraph" w:customStyle="1" w:styleId="Abstract">
    <w:name w:val="Abstract"/>
    <w:basedOn w:val="a"/>
    <w:pPr>
      <w:spacing w:after="160" w:line="360" w:lineRule="auto"/>
      <w:ind w:left="1440" w:right="1440"/>
    </w:pPr>
    <w:rPr>
      <w:rFonts w:ascii="Calibri" w:eastAsia="Calibri" w:hAnsi="Calibri" w:cs="Calibri"/>
      <w:sz w:val="22"/>
    </w:rPr>
  </w:style>
  <w:style w:type="paragraph" w:customStyle="1" w:styleId="Reference">
    <w:name w:val="Reference"/>
    <w:basedOn w:val="a"/>
    <w:pPr>
      <w:spacing w:after="320" w:line="360" w:lineRule="auto"/>
      <w:ind w:left="400" w:hanging="400"/>
    </w:pPr>
    <w:rPr>
      <w:rFonts w:ascii="Calibri" w:eastAsia="Calibri" w:hAnsi="Calibri" w:cs="Calibri"/>
      <w:sz w:val="22"/>
    </w:rPr>
  </w:style>
  <w:style w:type="character" w:customStyle="1" w:styleId="Label">
    <w:name w:val="Label"/>
    <w:basedOn w:val="a0"/>
    <w:rPr>
      <w:shd w:val="clear" w:color="auto" w:fill="FFC391"/>
      <w:vertAlign w:val="baseline"/>
    </w:rPr>
  </w:style>
  <w:style w:type="paragraph" w:customStyle="1" w:styleId="Keywords">
    <w:name w:val="Keywords"/>
    <w:basedOn w:val="a"/>
    <w:pPr>
      <w:spacing w:line="396" w:lineRule="auto"/>
      <w:ind w:left="1000"/>
      <w:jc w:val="left"/>
    </w:pPr>
    <w:rPr>
      <w:rFonts w:ascii="Calibri" w:eastAsia="Calibri" w:hAnsi="Calibri" w:cs="Calibri"/>
      <w:sz w:val="20"/>
    </w:rPr>
  </w:style>
  <w:style w:type="character" w:customStyle="1" w:styleId="Organization">
    <w:name w:val="Organization"/>
    <w:basedOn w:val="a0"/>
    <w:rPr>
      <w:shd w:val="clear" w:color="auto" w:fill="D1FFB5"/>
    </w:rPr>
  </w:style>
  <w:style w:type="numbering" w:customStyle="1" w:styleId="List21">
    <w:name w:val="List 21"/>
  </w:style>
  <w:style w:type="character" w:customStyle="1" w:styleId="GlossaryTerm">
    <w:name w:val="Glossary Term"/>
    <w:basedOn w:val="a0"/>
    <w:rPr>
      <w:shd w:val="clear" w:color="auto" w:fill="FFCFD7"/>
    </w:rPr>
  </w:style>
  <w:style w:type="paragraph" w:styleId="af4">
    <w:name w:val="Block Text"/>
    <w:basedOn w:val="a"/>
    <w:pPr>
      <w:spacing w:after="160" w:line="360" w:lineRule="auto"/>
      <w:ind w:left="1200"/>
    </w:pPr>
    <w:rPr>
      <w:rFonts w:ascii="Calibri" w:eastAsia="Calibri" w:hAnsi="Calibri" w:cs="Calibri"/>
      <w:sz w:val="22"/>
    </w:rPr>
  </w:style>
  <w:style w:type="character" w:customStyle="1" w:styleId="ArticleTitle">
    <w:name w:val="Article Title"/>
    <w:basedOn w:val="a0"/>
    <w:qFormat/>
    <w:rPr>
      <w:shd w:val="clear" w:color="auto" w:fill="E9F9FF"/>
    </w:rPr>
  </w:style>
  <w:style w:type="character" w:customStyle="1" w:styleId="City">
    <w:name w:val="City"/>
    <w:basedOn w:val="a0"/>
    <w:rPr>
      <w:shd w:val="clear" w:color="auto" w:fill="D7D7D7"/>
    </w:rPr>
  </w:style>
  <w:style w:type="character" w:customStyle="1" w:styleId="Region">
    <w:name w:val="Region"/>
    <w:basedOn w:val="a0"/>
    <w:rPr>
      <w:shd w:val="clear" w:color="auto" w:fill="D8E9EE"/>
    </w:rPr>
  </w:style>
  <w:style w:type="paragraph" w:customStyle="1" w:styleId="Correspondence">
    <w:name w:val="Correspondence"/>
    <w:basedOn w:val="a"/>
    <w:pPr>
      <w:shd w:val="clear" w:color="auto" w:fill="F3F7F9"/>
      <w:spacing w:before="240" w:after="120" w:line="396" w:lineRule="auto"/>
      <w:ind w:left="400" w:hanging="400"/>
      <w:jc w:val="left"/>
    </w:pPr>
    <w:rPr>
      <w:rFonts w:ascii="Calibri" w:eastAsia="Calibri" w:hAnsi="Calibri" w:cs="Calibri"/>
      <w:sz w:val="20"/>
      <w:shd w:val="clear" w:color="auto" w:fill="F3F7F9"/>
    </w:rPr>
  </w:style>
  <w:style w:type="character" w:customStyle="1" w:styleId="DatabaseLink">
    <w:name w:val="Database Link"/>
    <w:basedOn w:val="a0"/>
    <w:rPr>
      <w:shd w:val="clear" w:color="auto" w:fill="AFBEFF"/>
    </w:rPr>
  </w:style>
  <w:style w:type="numbering" w:customStyle="1" w:styleId="List41">
    <w:name w:val="List 41"/>
  </w:style>
  <w:style w:type="paragraph" w:customStyle="1" w:styleId="AbstractSubheading">
    <w:name w:val="Abstract Subheading"/>
    <w:basedOn w:val="a"/>
    <w:pPr>
      <w:numPr>
        <w:ilvl w:val="8"/>
      </w:numPr>
      <w:ind w:left="1440"/>
      <w:outlineLvl w:val="8"/>
    </w:pPr>
    <w:rPr>
      <w:sz w:val="22"/>
    </w:rPr>
  </w:style>
  <w:style w:type="paragraph" w:customStyle="1" w:styleId="QuotationSource">
    <w:name w:val="Quotation Source"/>
    <w:basedOn w:val="a"/>
    <w:pPr>
      <w:spacing w:after="170" w:line="360" w:lineRule="auto"/>
      <w:ind w:left="1200"/>
      <w:jc w:val="right"/>
    </w:pPr>
    <w:rPr>
      <w:rFonts w:ascii="Calibri" w:eastAsia="Calibri" w:hAnsi="Calibri" w:cs="Calibri"/>
      <w:sz w:val="22"/>
    </w:rPr>
  </w:style>
  <w:style w:type="paragraph" w:customStyle="1" w:styleId="Glossary">
    <w:name w:val="Glossary"/>
    <w:basedOn w:val="a"/>
    <w:pPr>
      <w:shd w:val="clear" w:color="auto" w:fill="FFEDF0"/>
      <w:spacing w:before="120" w:after="120" w:line="432" w:lineRule="auto"/>
    </w:pPr>
    <w:rPr>
      <w:rFonts w:ascii="Calibri" w:eastAsia="Calibri" w:hAnsi="Calibri" w:cs="Calibri"/>
      <w:sz w:val="20"/>
      <w:shd w:val="clear" w:color="auto" w:fill="FFEDF0"/>
    </w:rPr>
  </w:style>
  <w:style w:type="numbering" w:customStyle="1" w:styleId="List7">
    <w:name w:val="List 7"/>
  </w:style>
  <w:style w:type="character" w:customStyle="1" w:styleId="Country">
    <w:name w:val="Country"/>
    <w:basedOn w:val="a0"/>
    <w:rPr>
      <w:shd w:val="clear" w:color="auto" w:fill="97C5D1"/>
    </w:rPr>
  </w:style>
  <w:style w:type="paragraph" w:customStyle="1" w:styleId="Acknowledgements">
    <w:name w:val="Acknowledgements"/>
    <w:basedOn w:val="a"/>
    <w:pPr>
      <w:shd w:val="clear" w:color="auto" w:fill="F9EDFF"/>
      <w:spacing w:after="160" w:line="396" w:lineRule="auto"/>
    </w:pPr>
    <w:rPr>
      <w:rFonts w:ascii="Calibri" w:eastAsia="Calibri" w:hAnsi="Calibri" w:cs="Calibri"/>
      <w:sz w:val="20"/>
      <w:shd w:val="clear" w:color="auto" w:fill="F9EDFF"/>
    </w:rPr>
  </w:style>
  <w:style w:type="character" w:customStyle="1" w:styleId="PageNumbers">
    <w:name w:val="Page Numbers"/>
    <w:basedOn w:val="a0"/>
    <w:rPr>
      <w:shd w:val="clear" w:color="auto" w:fill="FFEDF0"/>
    </w:rPr>
  </w:style>
  <w:style w:type="paragraph" w:styleId="af5">
    <w:name w:val="Normal Indent"/>
    <w:basedOn w:val="a"/>
    <w:qFormat/>
    <w:pPr>
      <w:ind w:firstLine="480"/>
    </w:pPr>
    <w:rPr>
      <w:sz w:val="22"/>
    </w:rPr>
  </w:style>
  <w:style w:type="paragraph" w:customStyle="1" w:styleId="Affiliation">
    <w:name w:val="Affiliation"/>
    <w:basedOn w:val="a"/>
    <w:pPr>
      <w:shd w:val="clear" w:color="auto" w:fill="F4FFED"/>
      <w:spacing w:before="240" w:after="120" w:line="396" w:lineRule="auto"/>
      <w:ind w:left="400" w:hanging="400"/>
      <w:jc w:val="left"/>
    </w:pPr>
    <w:rPr>
      <w:rFonts w:ascii="Calibri" w:eastAsia="Calibri" w:hAnsi="Calibri" w:cs="Calibri"/>
      <w:sz w:val="20"/>
      <w:shd w:val="clear" w:color="auto" w:fill="F4FFED"/>
    </w:rPr>
  </w:style>
  <w:style w:type="character" w:customStyle="1" w:styleId="VolumeNumber">
    <w:name w:val="Volume Number"/>
    <w:basedOn w:val="a0"/>
    <w:rPr>
      <w:shd w:val="clear" w:color="auto" w:fill="EDF0FF"/>
    </w:rPr>
  </w:style>
  <w:style w:type="character" w:customStyle="1" w:styleId="GeneSequence">
    <w:name w:val="Gene Sequence"/>
    <w:basedOn w:val="a0"/>
    <w:rPr>
      <w:shd w:val="clear" w:color="auto" w:fill="FFCDF2"/>
    </w:rPr>
  </w:style>
  <w:style w:type="character" w:customStyle="1" w:styleId="IssueNumber">
    <w:name w:val="Issue Number"/>
    <w:basedOn w:val="a0"/>
    <w:rPr>
      <w:shd w:val="clear" w:color="auto" w:fill="CDD5FF"/>
    </w:rPr>
  </w:style>
  <w:style w:type="paragraph" w:styleId="af6">
    <w:name w:val="List"/>
    <w:basedOn w:val="a"/>
    <w:pPr>
      <w:spacing w:line="360" w:lineRule="auto"/>
      <w:ind w:left="400" w:hanging="400"/>
    </w:pPr>
    <w:rPr>
      <w:rFonts w:ascii="Calibri" w:eastAsia="Calibri" w:hAnsi="Calibri" w:cs="Calibri"/>
      <w:sz w:val="22"/>
    </w:rPr>
  </w:style>
  <w:style w:type="character" w:customStyle="1" w:styleId="Edition">
    <w:name w:val="Edition"/>
    <w:basedOn w:val="a0"/>
    <w:rPr>
      <w:shd w:val="clear" w:color="auto" w:fill="FFF6A4"/>
    </w:rPr>
  </w:style>
  <w:style w:type="paragraph" w:customStyle="1" w:styleId="Biography">
    <w:name w:val="Biography"/>
    <w:basedOn w:val="a"/>
    <w:pPr>
      <w:shd w:val="clear" w:color="auto" w:fill="EEFEF4"/>
      <w:spacing w:after="160" w:line="396" w:lineRule="auto"/>
    </w:pPr>
    <w:rPr>
      <w:rFonts w:ascii="Calibri" w:eastAsia="Calibri" w:hAnsi="Calibri" w:cs="Calibri"/>
      <w:sz w:val="20"/>
      <w:shd w:val="clear" w:color="auto" w:fill="EEFEF4"/>
    </w:rPr>
  </w:style>
  <w:style w:type="numbering" w:customStyle="1" w:styleId="List31">
    <w:name w:val="List 31"/>
  </w:style>
  <w:style w:type="character" w:customStyle="1" w:styleId="Conference">
    <w:name w:val="Conference"/>
    <w:basedOn w:val="a0"/>
    <w:rPr>
      <w:shd w:val="clear" w:color="auto" w:fill="FFAFBC"/>
    </w:rPr>
  </w:style>
  <w:style w:type="paragraph" w:customStyle="1" w:styleId="Surtitle">
    <w:name w:val="Surtitle"/>
    <w:basedOn w:val="a"/>
    <w:qFormat/>
    <w:pPr>
      <w:spacing w:after="160" w:line="208" w:lineRule="auto"/>
      <w:jc w:val="left"/>
    </w:pPr>
    <w:rPr>
      <w:rFonts w:ascii="Calibri" w:eastAsia="Calibri" w:hAnsi="Calibri" w:cs="Calibri"/>
      <w:sz w:val="38"/>
    </w:rPr>
  </w:style>
  <w:style w:type="paragraph" w:customStyle="1" w:styleId="TableHeadSpan">
    <w:name w:val="Table Head Span"/>
    <w:basedOn w:val="a"/>
    <w:pPr>
      <w:shd w:val="clear" w:color="auto" w:fill="FFEDFA"/>
      <w:jc w:val="left"/>
    </w:pPr>
    <w:rPr>
      <w:rFonts w:ascii="Calibri" w:eastAsia="Calibri" w:hAnsi="Calibri" w:cs="Calibri"/>
      <w:shd w:val="clear" w:color="auto" w:fill="FFEDFA"/>
    </w:rPr>
  </w:style>
  <w:style w:type="character" w:customStyle="1" w:styleId="Miscellaneous">
    <w:name w:val="Miscellaneous"/>
    <w:basedOn w:val="a0"/>
    <w:rPr>
      <w:shd w:val="clear" w:color="auto" w:fill="F0F0F0"/>
    </w:rPr>
  </w:style>
  <w:style w:type="numbering" w:customStyle="1" w:styleId="List6">
    <w:name w:val="List 6"/>
  </w:style>
  <w:style w:type="character" w:customStyle="1" w:styleId="Heading">
    <w:name w:val="Heading:"/>
    <w:basedOn w:val="a0"/>
    <w:rPr>
      <w:color w:val="5B89C1"/>
    </w:rPr>
  </w:style>
  <w:style w:type="character" w:customStyle="1" w:styleId="Source">
    <w:name w:val="Source"/>
    <w:basedOn w:val="a0"/>
    <w:rPr>
      <w:shd w:val="clear" w:color="auto" w:fill="C1EDFF"/>
    </w:rPr>
  </w:style>
  <w:style w:type="paragraph" w:styleId="af7">
    <w:name w:val="Subtitle"/>
    <w:basedOn w:val="a"/>
    <w:qFormat/>
    <w:pPr>
      <w:spacing w:after="160" w:line="208" w:lineRule="auto"/>
      <w:jc w:val="left"/>
    </w:pPr>
    <w:rPr>
      <w:rFonts w:ascii="Calibri" w:eastAsia="Calibri" w:hAnsi="Calibri" w:cs="Calibri"/>
      <w:sz w:val="38"/>
    </w:rPr>
  </w:style>
  <w:style w:type="character" w:customStyle="1" w:styleId="NameScientific">
    <w:name w:val="Name Scientific"/>
    <w:basedOn w:val="a0"/>
    <w:rPr>
      <w:shd w:val="clear" w:color="auto" w:fill="91E0FF"/>
    </w:rPr>
  </w:style>
  <w:style w:type="paragraph" w:customStyle="1" w:styleId="Statement">
    <w:name w:val="Statement"/>
    <w:basedOn w:val="a"/>
    <w:pPr>
      <w:ind w:left="900"/>
    </w:pPr>
    <w:rPr>
      <w:rFonts w:ascii="Calibri" w:eastAsia="Calibri" w:hAnsi="Calibri" w:cs="Calibri"/>
      <w:sz w:val="22"/>
    </w:rPr>
  </w:style>
  <w:style w:type="paragraph" w:customStyle="1" w:styleId="TableHead">
    <w:name w:val="Table Head"/>
    <w:basedOn w:val="a"/>
    <w:pPr>
      <w:shd w:val="clear" w:color="auto" w:fill="FFEDFA"/>
      <w:jc w:val="left"/>
    </w:pPr>
    <w:rPr>
      <w:rFonts w:ascii="Calibri" w:eastAsia="Calibri" w:hAnsi="Calibri" w:cs="Calibri"/>
      <w:sz w:val="20"/>
      <w:shd w:val="clear" w:color="auto" w:fill="FFEDFA"/>
    </w:rPr>
  </w:style>
  <w:style w:type="paragraph" w:customStyle="1" w:styleId="Quotation">
    <w:name w:val="Quotation"/>
    <w:basedOn w:val="a"/>
    <w:pPr>
      <w:spacing w:after="160" w:line="360" w:lineRule="auto"/>
      <w:ind w:left="1200" w:right="1200"/>
    </w:pPr>
    <w:rPr>
      <w:rFonts w:ascii="Calibri" w:eastAsia="Calibri" w:hAnsi="Calibri" w:cs="Calibri"/>
      <w:sz w:val="22"/>
    </w:rPr>
  </w:style>
  <w:style w:type="paragraph" w:customStyle="1" w:styleId="TableNote">
    <w:name w:val="Table Note"/>
    <w:basedOn w:val="a"/>
    <w:rPr>
      <w:rFonts w:ascii="Calibri" w:eastAsia="Calibri" w:hAnsi="Calibri" w:cs="Calibri"/>
      <w:sz w:val="18"/>
    </w:rPr>
  </w:style>
  <w:style w:type="character" w:customStyle="1" w:styleId="Year">
    <w:name w:val="Year"/>
    <w:basedOn w:val="a0"/>
    <w:rPr>
      <w:shd w:val="clear" w:color="auto" w:fill="FFF9C9"/>
    </w:rPr>
  </w:style>
  <w:style w:type="paragraph" w:customStyle="1" w:styleId="TableBody">
    <w:name w:val="Table Body"/>
    <w:basedOn w:val="a"/>
    <w:pPr>
      <w:spacing w:after="160" w:line="396" w:lineRule="auto"/>
      <w:jc w:val="left"/>
    </w:pPr>
    <w:rPr>
      <w:rFonts w:ascii="Calibri" w:eastAsia="Calibri" w:hAnsi="Calibri" w:cs="Calibri"/>
      <w:sz w:val="20"/>
    </w:rPr>
  </w:style>
  <w:style w:type="character" w:customStyle="1" w:styleId="Location">
    <w:name w:val="Location"/>
    <w:basedOn w:val="a0"/>
    <w:rPr>
      <w:shd w:val="clear" w:color="auto" w:fill="F9EDFF"/>
    </w:rPr>
  </w:style>
  <w:style w:type="paragraph" w:customStyle="1" w:styleId="ChapterNumber">
    <w:name w:val="Chapter Number"/>
    <w:basedOn w:val="a"/>
    <w:rPr>
      <w:rFonts w:ascii="Calibri" w:eastAsia="Calibri" w:hAnsi="Calibri" w:cs="Calibri"/>
    </w:rPr>
  </w:style>
  <w:style w:type="numbering" w:customStyle="1" w:styleId="List51">
    <w:name w:val="List 51"/>
  </w:style>
  <w:style w:type="paragraph" w:customStyle="1" w:styleId="CommentText0">
    <w:name w:val="Comment Text_0"/>
    <w:basedOn w:val="a"/>
    <w:pPr>
      <w:jc w:val="left"/>
    </w:pPr>
    <w:rPr>
      <w:rFonts w:ascii="Calibri" w:eastAsia="Calibri" w:hAnsi="Calibri" w:cs="Calibri"/>
      <w:sz w:val="20"/>
    </w:rPr>
  </w:style>
  <w:style w:type="character" w:customStyle="1" w:styleId="Publisher">
    <w:name w:val="Publisher"/>
    <w:basedOn w:val="a0"/>
    <w:rPr>
      <w:shd w:val="clear" w:color="auto" w:fill="F2DDFF"/>
    </w:rPr>
  </w:style>
  <w:style w:type="paragraph" w:customStyle="1" w:styleId="Caption1">
    <w:name w:val="Caption1"/>
    <w:basedOn w:val="a"/>
    <w:pPr>
      <w:shd w:val="clear" w:color="auto" w:fill="FFF5ED"/>
      <w:spacing w:before="240" w:line="349" w:lineRule="auto"/>
    </w:pPr>
    <w:rPr>
      <w:rFonts w:ascii="Calibri" w:eastAsia="Calibri" w:hAnsi="Calibri" w:cs="Calibri"/>
      <w:sz w:val="22"/>
      <w:shd w:val="clear" w:color="auto" w:fill="FFF5ED"/>
    </w:rPr>
  </w:style>
  <w:style w:type="numbering" w:customStyle="1" w:styleId="List1">
    <w:name w:val="List 1"/>
  </w:style>
  <w:style w:type="numbering" w:customStyle="1" w:styleId="List9">
    <w:name w:val="List 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40569-B2E1-4650-8A2B-820BFE9A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Sayo Iseki</dc:creator>
  <cp:lastModifiedBy>井関　紗代</cp:lastModifiedBy>
  <cp:revision>3</cp:revision>
  <dcterms:created xsi:type="dcterms:W3CDTF">2022-03-15T10:31:00Z</dcterms:created>
  <dcterms:modified xsi:type="dcterms:W3CDTF">2022-03-15T10:32:00Z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Date">
    <vt:lpwstr/>
  </property>
  <property fmtid="{D5CDD505-2E9C-101B-9397-08002B2CF9AE}" pid="3" name="DOI">
    <vt:lpwstr/>
  </property>
  <property fmtid="{D5CDD505-2E9C-101B-9397-08002B2CF9AE}" pid="4" name="epub">
    <vt:lpwstr/>
  </property>
  <property fmtid="{D5CDD505-2E9C-101B-9397-08002B2CF9AE}" pid="5" name="JournalID">
    <vt:lpwstr/>
  </property>
  <property fmtid="{D5CDD505-2E9C-101B-9397-08002B2CF9AE}" pid="6" name="Merops -Original extension">
    <vt:lpwstr>docx</vt:lpwstr>
  </property>
  <property fmtid="{D5CDD505-2E9C-101B-9397-08002B2CF9AE}" pid="7" name="Merops change count">
    <vt:lpwstr>139</vt:lpwstr>
  </property>
  <property fmtid="{D5CDD505-2E9C-101B-9397-08002B2CF9AE}" pid="8" name="Merops client version">
    <vt:lpwstr>*</vt:lpwstr>
  </property>
  <property fmtid="{D5CDD505-2E9C-101B-9397-08002B2CF9AE}" pid="9" name="Merops comment count">
    <vt:lpwstr>0</vt:lpwstr>
  </property>
  <property fmtid="{D5CDD505-2E9C-101B-9397-08002B2CF9AE}" pid="10" name="Merops DOI links count">
    <vt:lpwstr>0</vt:lpwstr>
  </property>
  <property fmtid="{D5CDD505-2E9C-101B-9397-08002B2CF9AE}" pid="11" name="Merops email addresses count">
    <vt:lpwstr>0</vt:lpwstr>
  </property>
  <property fmtid="{D5CDD505-2E9C-101B-9397-08002B2CF9AE}" pid="12" name="Merops figures count">
    <vt:lpwstr>0</vt:lpwstr>
  </property>
  <property fmtid="{D5CDD505-2E9C-101B-9397-08002B2CF9AE}" pid="13" name="Merops footnotes/endnotes count">
    <vt:lpwstr>0</vt:lpwstr>
  </property>
  <property fmtid="{D5CDD505-2E9C-101B-9397-08002B2CF9AE}" pid="14" name="Merops graphics count">
    <vt:lpwstr>0</vt:lpwstr>
  </property>
  <property fmtid="{D5CDD505-2E9C-101B-9397-08002B2CF9AE}" pid="15" name="Merops input file path">
    <vt:lpwstr>*</vt:lpwstr>
  </property>
  <property fmtid="{D5CDD505-2E9C-101B-9397-08002B2CF9AE}" pid="16" name="Merops intra-document links count">
    <vt:lpwstr>0</vt:lpwstr>
  </property>
  <property fmtid="{D5CDD505-2E9C-101B-9397-08002B2CF9AE}" pid="17" name="Merops processed date">
    <vt:lpwstr>2021/08/25 01:49:13 PM</vt:lpwstr>
  </property>
  <property fmtid="{D5CDD505-2E9C-101B-9397-08002B2CF9AE}" pid="18" name="Merops PubMed links count">
    <vt:lpwstr>0</vt:lpwstr>
  </property>
  <property fmtid="{D5CDD505-2E9C-101B-9397-08002B2CF9AE}" pid="19" name="Merops references count">
    <vt:lpwstr>5</vt:lpwstr>
  </property>
  <property fmtid="{D5CDD505-2E9C-101B-9397-08002B2CF9AE}" pid="20" name="Merops Scopus links count">
    <vt:lpwstr>0</vt:lpwstr>
  </property>
  <property fmtid="{D5CDD505-2E9C-101B-9397-08002B2CF9AE}" pid="21" name="Merops server path">
    <vt:lpwstr>*</vt:lpwstr>
  </property>
  <property fmtid="{D5CDD505-2E9C-101B-9397-08002B2CF9AE}" pid="22" name="Merops Standard Set">
    <vt:lpwstr>*</vt:lpwstr>
  </property>
  <property fmtid="{D5CDD505-2E9C-101B-9397-08002B2CF9AE}" pid="23" name="Merops Standard Set modified">
    <vt:lpwstr>*</vt:lpwstr>
  </property>
  <property fmtid="{D5CDD505-2E9C-101B-9397-08002B2CF9AE}" pid="24" name="Merops tables count">
    <vt:lpwstr>0</vt:lpwstr>
  </property>
  <property fmtid="{D5CDD505-2E9C-101B-9397-08002B2CF9AE}" pid="25" name="Merops word count">
    <vt:lpwstr>751</vt:lpwstr>
  </property>
  <property fmtid="{D5CDD505-2E9C-101B-9397-08002B2CF9AE}" pid="26" name="Merops WorldCat links count">
    <vt:lpwstr>0</vt:lpwstr>
  </property>
  <property fmtid="{D5CDD505-2E9C-101B-9397-08002B2CF9AE}" pid="27" name="ppub">
    <vt:lpwstr/>
  </property>
  <property fmtid="{D5CDD505-2E9C-101B-9397-08002B2CF9AE}" pid="28" name="Publisher">
    <vt:lpwstr/>
  </property>
  <property fmtid="{D5CDD505-2E9C-101B-9397-08002B2CF9AE}" pid="29" name="Publisher-location">
    <vt:lpwstr/>
  </property>
  <property fmtid="{D5CDD505-2E9C-101B-9397-08002B2CF9AE}" pid="30" name="ReceivedDate">
    <vt:lpwstr/>
  </property>
  <property fmtid="{D5CDD505-2E9C-101B-9397-08002B2CF9AE}" pid="31" name="Reference citation style">
    <vt:lpwstr>name-date</vt:lpwstr>
  </property>
  <property fmtid="{D5CDD505-2E9C-101B-9397-08002B2CF9AE}" pid="32" name="Source">
    <vt:lpwstr/>
  </property>
  <property fmtid="{D5CDD505-2E9C-101B-9397-08002B2CF9AE}" pid="33" name="Source-abbreviated">
    <vt:lpwstr/>
  </property>
  <property fmtid="{D5CDD505-2E9C-101B-9397-08002B2CF9AE}" pid="34" name="Source-short">
    <vt:lpwstr/>
  </property>
  <property fmtid="{D5CDD505-2E9C-101B-9397-08002B2CF9AE}" pid="35" name="Subject">
    <vt:lpwstr/>
  </property>
</Properties>
</file>