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A9F40" w14:textId="77777777" w:rsidR="00101A4C" w:rsidRPr="00C32F46" w:rsidRDefault="00101A4C" w:rsidP="00101A4C">
      <w:pPr>
        <w:jc w:val="left"/>
        <w:rPr>
          <w:rFonts w:ascii="Times New Roman" w:hAnsi="Times New Roman" w:cs="Times New Roman"/>
          <w:sz w:val="32"/>
          <w:szCs w:val="32"/>
        </w:rPr>
      </w:pPr>
      <w:proofErr w:type="gramStart"/>
      <w:r w:rsidRPr="00C32F46">
        <w:rPr>
          <w:rFonts w:ascii="Times New Roman" w:hAnsi="Times New Roman" w:cs="Times New Roman" w:hint="eastAsia"/>
          <w:sz w:val="24"/>
        </w:rPr>
        <w:t>Supplementary file 2.</w:t>
      </w:r>
      <w:proofErr w:type="gramEnd"/>
      <w:r w:rsidRPr="00C32F46">
        <w:rPr>
          <w:rFonts w:ascii="Times New Roman" w:hAnsi="Times New Roman" w:cs="Times New Roman" w:hint="eastAsia"/>
          <w:sz w:val="24"/>
        </w:rPr>
        <w:t xml:space="preserve"> The results of data mining in TCGA database also indicated that high DSG2 expression was associated poor prognosis in NSCLC</w:t>
      </w:r>
    </w:p>
    <w:p w14:paraId="059C29E7" w14:textId="77777777" w:rsidR="00A21EEB" w:rsidRPr="00C32F46" w:rsidRDefault="00A21EEB" w:rsidP="00A21EEB">
      <w:pPr>
        <w:jc w:val="center"/>
        <w:rPr>
          <w:rFonts w:ascii="Times New Roman" w:hAnsi="Times New Roman" w:cs="Times New Roman"/>
          <w:sz w:val="32"/>
          <w:szCs w:val="32"/>
        </w:rPr>
      </w:pPr>
      <w:r w:rsidRPr="00C32F46">
        <w:rPr>
          <w:rFonts w:ascii="Times New Roman" w:hAnsi="Times New Roman" w:cs="Times New Roman"/>
          <w:sz w:val="32"/>
          <w:szCs w:val="32"/>
        </w:rPr>
        <w:t>Data mining in TCGA</w:t>
      </w:r>
    </w:p>
    <w:p w14:paraId="75C09A99" w14:textId="77777777" w:rsidR="0058740A" w:rsidRPr="00C32F46" w:rsidRDefault="0058740A" w:rsidP="0058740A">
      <w:pPr>
        <w:ind w:firstLineChars="200" w:firstLine="480"/>
        <w:rPr>
          <w:rFonts w:ascii="Times New Roman" w:hAnsi="Times New Roman" w:cs="Times New Roman"/>
          <w:sz w:val="24"/>
        </w:rPr>
      </w:pPr>
      <w:r w:rsidRPr="00C32F46">
        <w:rPr>
          <w:rFonts w:ascii="Times New Roman" w:hAnsi="Times New Roman" w:cs="Times New Roman"/>
          <w:sz w:val="24"/>
        </w:rPr>
        <w:t xml:space="preserve">Raw counts of DSG2 expression data and corresponding clinical information from </w:t>
      </w:r>
      <w:r w:rsidRPr="00C32F46">
        <w:rPr>
          <w:rFonts w:ascii="Times New Roman" w:hAnsi="Times New Roman" w:cs="Times New Roman" w:hint="eastAsia"/>
          <w:sz w:val="24"/>
        </w:rPr>
        <w:t>NSCLC</w:t>
      </w:r>
      <w:r w:rsidRPr="00C32F46">
        <w:rPr>
          <w:rFonts w:ascii="Times New Roman" w:hAnsi="Times New Roman" w:cs="Times New Roman"/>
          <w:sz w:val="24"/>
        </w:rPr>
        <w:t xml:space="preserve"> were obtained from The Cancer Genome Atlas (TCGA) dataset (https://portal.gdc.cancer.gov/) in May 2021, in which the method of acquisition and application complied with the guidelines and policies. The survival analysis with log-rank test w</w:t>
      </w:r>
      <w:r w:rsidRPr="00C32F46">
        <w:rPr>
          <w:rFonts w:ascii="Times New Roman" w:hAnsi="Times New Roman" w:cs="Times New Roman" w:hint="eastAsia"/>
          <w:sz w:val="24"/>
        </w:rPr>
        <w:t>as</w:t>
      </w:r>
      <w:r w:rsidRPr="00C32F46">
        <w:rPr>
          <w:rFonts w:ascii="Times New Roman" w:hAnsi="Times New Roman" w:cs="Times New Roman"/>
          <w:sz w:val="24"/>
        </w:rPr>
        <w:t xml:space="preserve"> also used t</w:t>
      </w:r>
      <w:bookmarkStart w:id="0" w:name="_GoBack"/>
      <w:bookmarkEnd w:id="0"/>
      <w:r w:rsidRPr="00C32F46">
        <w:rPr>
          <w:rFonts w:ascii="Times New Roman" w:hAnsi="Times New Roman" w:cs="Times New Roman"/>
          <w:sz w:val="24"/>
        </w:rPr>
        <w:t xml:space="preserve">o compare the survival difference between above two groups or more groups. For Kaplan–Meier (KM) curves, p-values and hazard ratio (HR) with 95% confidence interval (CI) were generated by log-rank tests and univariate COX proportional hazards regression. All analytical methods above and R packages were performed using R software version v4.0.3. </w:t>
      </w:r>
      <w:proofErr w:type="spellStart"/>
      <w:r w:rsidRPr="00C32F46">
        <w:rPr>
          <w:rFonts w:ascii="Times New Roman" w:hAnsi="Times New Roman" w:cs="Times New Roman" w:hint="eastAsia"/>
          <w:sz w:val="24"/>
        </w:rPr>
        <w:t>J</w:t>
      </w:r>
      <w:r w:rsidRPr="00C32F46">
        <w:rPr>
          <w:rFonts w:ascii="Times New Roman" w:hAnsi="Times New Roman" w:cs="Times New Roman"/>
          <w:sz w:val="24"/>
        </w:rPr>
        <w:t>oin.Cox</w:t>
      </w:r>
      <w:proofErr w:type="spellEnd"/>
      <w:r w:rsidRPr="00C32F46">
        <w:rPr>
          <w:rFonts w:ascii="Times New Roman" w:hAnsi="Times New Roman" w:cs="Times New Roman"/>
          <w:sz w:val="24"/>
        </w:rPr>
        <w:t xml:space="preserve"> package</w:t>
      </w:r>
      <w:r w:rsidRPr="00C32F46">
        <w:rPr>
          <w:rFonts w:ascii="Times New Roman" w:hAnsi="Times New Roman" w:cs="Times New Roman" w:hint="eastAsia"/>
          <w:sz w:val="24"/>
        </w:rPr>
        <w:t xml:space="preserve"> was used </w:t>
      </w:r>
      <w:r w:rsidRPr="00C32F46">
        <w:rPr>
          <w:rFonts w:ascii="Times New Roman" w:hAnsi="Times New Roman" w:cs="Times New Roman"/>
          <w:sz w:val="24"/>
        </w:rPr>
        <w:t>for data processing and analysis</w:t>
      </w:r>
      <w:r w:rsidRPr="00C32F46">
        <w:rPr>
          <w:rFonts w:ascii="Times New Roman" w:hAnsi="Times New Roman" w:cs="Times New Roman" w:hint="eastAsia"/>
          <w:sz w:val="24"/>
        </w:rPr>
        <w:t xml:space="preserve">. </w:t>
      </w:r>
      <w:r w:rsidRPr="00C32F46">
        <w:rPr>
          <w:rFonts w:ascii="Times New Roman" w:hAnsi="Times New Roman" w:cs="Times New Roman"/>
          <w:sz w:val="24"/>
        </w:rPr>
        <w:t>PowerPoint and Excel are also used as tools in the processing of image and table data.</w:t>
      </w:r>
    </w:p>
    <w:p w14:paraId="78F7E819" w14:textId="77777777" w:rsidR="0058740A" w:rsidRPr="00C32F46" w:rsidRDefault="0058740A" w:rsidP="0058740A">
      <w:pPr>
        <w:ind w:firstLineChars="200" w:firstLine="480"/>
        <w:rPr>
          <w:rFonts w:ascii="Times New Roman" w:hAnsi="Times New Roman" w:cs="Times New Roman"/>
          <w:sz w:val="24"/>
        </w:rPr>
      </w:pPr>
      <w:r w:rsidRPr="00C32F46">
        <w:rPr>
          <w:rFonts w:ascii="Times New Roman" w:hAnsi="Times New Roman" w:cs="Times New Roman"/>
          <w:sz w:val="24"/>
        </w:rPr>
        <w:t>The principle of KM method is to first calculate the probability of patients who have lived through a certain period of time to live through the next period (survival probability), and then multiply the survival probability one by one, that is, the survival rate of the corresponding period of time. Kaplan-Meier survival analysis of the prognostic analysis of DSG2 in NSCLC in the TCGA</w:t>
      </w:r>
      <w:r w:rsidRPr="00C32F46">
        <w:rPr>
          <w:rFonts w:ascii="Times New Roman" w:hAnsi="Times New Roman" w:cs="Times New Roman" w:hint="eastAsia"/>
          <w:sz w:val="24"/>
        </w:rPr>
        <w:t xml:space="preserve"> was shown below. </w:t>
      </w:r>
      <w:r w:rsidRPr="00C32F46">
        <w:rPr>
          <w:rFonts w:ascii="Times New Roman" w:hAnsi="Times New Roman" w:cs="Times New Roman"/>
          <w:sz w:val="24"/>
        </w:rPr>
        <w:t xml:space="preserve">The X axis of the survival curve is the year, and the Y axis represents the </w:t>
      </w:r>
      <w:r w:rsidRPr="00C32F46">
        <w:rPr>
          <w:rFonts w:ascii="Times New Roman" w:hAnsi="Times New Roman" w:cs="Times New Roman" w:hint="eastAsia"/>
          <w:sz w:val="24"/>
        </w:rPr>
        <w:t xml:space="preserve">survival </w:t>
      </w:r>
      <w:r w:rsidRPr="00C32F46">
        <w:rPr>
          <w:rFonts w:ascii="Times New Roman" w:hAnsi="Times New Roman" w:cs="Times New Roman"/>
          <w:sz w:val="24"/>
        </w:rPr>
        <w:t>probability. In order to reflect the effect of DSG2 expression on the survival of the whole population of patients with non-small cell lung cancer, it is not classified according to the stage of cancer, treatment, age, sex, race, smoking history and other clinical characteristics, but grouped according to the average expression of DSG2, and comprehensively analyzed the prognosis of lung squamous cell carcinoma (LUSC) and lung adenocarcinoma (LUAD). According to the median of gene expression, samples were divided into two groups: high expression group and low expression group.</w:t>
      </w:r>
      <w:r w:rsidRPr="00C32F46">
        <w:t xml:space="preserve"> </w:t>
      </w:r>
      <w:r w:rsidRPr="00C32F46">
        <w:rPr>
          <w:rFonts w:ascii="Times New Roman" w:hAnsi="Times New Roman" w:cs="Times New Roman"/>
          <w:sz w:val="24"/>
        </w:rPr>
        <w:t xml:space="preserve">By the time of data downloaded, the expression of DSG2 had no significant effect on the 5-year survival rate of patients with non-small cell lung cancer, but the survival rate of 10 years or more in the low expression group was higher than that in the high expression group. Among the 395 patients who died, the average survival time was 2.52 years in the low expression group and 2.40 years in the high expression group. Among the 604 patients who survived, the average survival time was 2.57 years in the low expression group and 2.47 years in the high expression group. COX regression model is a semi-parametric regression model which takes survival outcome and survival time as dependent variables to analyze the influence of many factors on survival time at the same time. Hazard Ratio (HR) is the ratio of two hazard rates. In medical and public studies, hazard ratios are often used to express the hazard differences between the experimental group and the control group. HR&gt;1 indicated that high DSG2 expression was a risk </w:t>
      </w:r>
      <w:proofErr w:type="gramStart"/>
      <w:r w:rsidRPr="00C32F46">
        <w:rPr>
          <w:rFonts w:ascii="Times New Roman" w:hAnsi="Times New Roman" w:cs="Times New Roman"/>
          <w:sz w:val="24"/>
        </w:rPr>
        <w:t>factor .</w:t>
      </w:r>
      <w:proofErr w:type="gramEnd"/>
      <w:r w:rsidRPr="00C32F46">
        <w:rPr>
          <w:rFonts w:ascii="Times New Roman" w:hAnsi="Times New Roman" w:cs="Times New Roman"/>
          <w:sz w:val="24"/>
        </w:rPr>
        <w:t xml:space="preserve"> P</w:t>
      </w:r>
      <w:r w:rsidRPr="00C32F46">
        <w:rPr>
          <w:rFonts w:ascii="Times New Roman" w:hAnsi="Times New Roman" w:cs="Times New Roman" w:hint="eastAsia"/>
          <w:sz w:val="24"/>
        </w:rPr>
        <w:t>&lt;</w:t>
      </w:r>
      <w:r w:rsidRPr="00C32F46">
        <w:rPr>
          <w:rFonts w:ascii="Times New Roman" w:hAnsi="Times New Roman" w:cs="Times New Roman"/>
          <w:sz w:val="24"/>
        </w:rPr>
        <w:t>0.05 was considered as statistically significant.</w:t>
      </w:r>
    </w:p>
    <w:p w14:paraId="3D569C79" w14:textId="77777777" w:rsidR="00145FA3" w:rsidRDefault="00145FA3" w:rsidP="00145FA3">
      <w:pPr>
        <w:ind w:firstLineChars="200" w:firstLine="480"/>
        <w:jc w:val="center"/>
        <w:rPr>
          <w:rFonts w:ascii="Times New Roman" w:hAnsi="Times New Roman" w:cs="Times New Roman"/>
          <w:sz w:val="24"/>
        </w:rPr>
      </w:pPr>
      <w:r w:rsidRPr="00C32F46">
        <w:rPr>
          <w:rFonts w:ascii="Times New Roman" w:hAnsi="Times New Roman" w:cs="Times New Roman"/>
          <w:noProof/>
          <w:sz w:val="24"/>
        </w:rPr>
        <w:lastRenderedPageBreak/>
        <w:drawing>
          <wp:inline distT="0" distB="0" distL="0" distR="0" wp14:anchorId="3EBDAC4B" wp14:editId="0D878706">
            <wp:extent cx="3895725" cy="3504375"/>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png"/>
                    <pic:cNvPicPr/>
                  </pic:nvPicPr>
                  <pic:blipFill>
                    <a:blip r:embed="rId7">
                      <a:extLst>
                        <a:ext uri="{28A0092B-C50C-407E-A947-70E740481C1C}">
                          <a14:useLocalDpi xmlns:a14="http://schemas.microsoft.com/office/drawing/2010/main" val="0"/>
                        </a:ext>
                      </a:extLst>
                    </a:blip>
                    <a:stretch>
                      <a:fillRect/>
                    </a:stretch>
                  </pic:blipFill>
                  <pic:spPr>
                    <a:xfrm>
                      <a:off x="0" y="0"/>
                      <a:ext cx="3897040" cy="3505558"/>
                    </a:xfrm>
                    <a:prstGeom prst="rect">
                      <a:avLst/>
                    </a:prstGeom>
                  </pic:spPr>
                </pic:pic>
              </a:graphicData>
            </a:graphic>
          </wp:inline>
        </w:drawing>
      </w:r>
    </w:p>
    <w:sectPr w:rsidR="00145FA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C0CD3" w14:textId="77777777" w:rsidR="00AF5DB9" w:rsidRDefault="00AF5DB9" w:rsidP="00A21EEB">
      <w:r>
        <w:separator/>
      </w:r>
    </w:p>
  </w:endnote>
  <w:endnote w:type="continuationSeparator" w:id="0">
    <w:p w14:paraId="1C152109" w14:textId="77777777" w:rsidR="00AF5DB9" w:rsidRDefault="00AF5DB9" w:rsidP="00A2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2E658" w14:textId="77777777" w:rsidR="00AF5DB9" w:rsidRDefault="00AF5DB9" w:rsidP="00A21EEB">
      <w:r>
        <w:separator/>
      </w:r>
    </w:p>
  </w:footnote>
  <w:footnote w:type="continuationSeparator" w:id="0">
    <w:p w14:paraId="6CC4C7B5" w14:textId="77777777" w:rsidR="00AF5DB9" w:rsidRDefault="00AF5DB9" w:rsidP="00A21E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E7D"/>
    <w:rsid w:val="000027AD"/>
    <w:rsid w:val="00007C7B"/>
    <w:rsid w:val="00041A8B"/>
    <w:rsid w:val="000A3148"/>
    <w:rsid w:val="000F16E4"/>
    <w:rsid w:val="00101A4C"/>
    <w:rsid w:val="00102946"/>
    <w:rsid w:val="00145FA3"/>
    <w:rsid w:val="001530D0"/>
    <w:rsid w:val="0015413D"/>
    <w:rsid w:val="0016394E"/>
    <w:rsid w:val="00187AB0"/>
    <w:rsid w:val="001A678A"/>
    <w:rsid w:val="001E4534"/>
    <w:rsid w:val="0022119C"/>
    <w:rsid w:val="002260BB"/>
    <w:rsid w:val="002B485C"/>
    <w:rsid w:val="002E2C40"/>
    <w:rsid w:val="002F239D"/>
    <w:rsid w:val="00303CD2"/>
    <w:rsid w:val="004252CE"/>
    <w:rsid w:val="00446BF1"/>
    <w:rsid w:val="004514E7"/>
    <w:rsid w:val="004A602D"/>
    <w:rsid w:val="004C12D3"/>
    <w:rsid w:val="004C156F"/>
    <w:rsid w:val="0058740A"/>
    <w:rsid w:val="005C04B1"/>
    <w:rsid w:val="005C2703"/>
    <w:rsid w:val="00622220"/>
    <w:rsid w:val="00645B9B"/>
    <w:rsid w:val="006745F2"/>
    <w:rsid w:val="006E35E7"/>
    <w:rsid w:val="007634C0"/>
    <w:rsid w:val="007D1065"/>
    <w:rsid w:val="008337C5"/>
    <w:rsid w:val="00871A1C"/>
    <w:rsid w:val="008A5D0B"/>
    <w:rsid w:val="008F235F"/>
    <w:rsid w:val="00974CAA"/>
    <w:rsid w:val="009B0512"/>
    <w:rsid w:val="009B7125"/>
    <w:rsid w:val="00A21EEB"/>
    <w:rsid w:val="00A26FD6"/>
    <w:rsid w:val="00A56A5C"/>
    <w:rsid w:val="00AF5DB9"/>
    <w:rsid w:val="00B01E38"/>
    <w:rsid w:val="00B72672"/>
    <w:rsid w:val="00B830EE"/>
    <w:rsid w:val="00BA5A5F"/>
    <w:rsid w:val="00BF5D51"/>
    <w:rsid w:val="00C32F46"/>
    <w:rsid w:val="00C83A23"/>
    <w:rsid w:val="00CB7EEE"/>
    <w:rsid w:val="00CF2973"/>
    <w:rsid w:val="00D37D7D"/>
    <w:rsid w:val="00E051D5"/>
    <w:rsid w:val="00E31895"/>
    <w:rsid w:val="00EA0DE9"/>
    <w:rsid w:val="00EC3A0E"/>
    <w:rsid w:val="00EE1E7D"/>
    <w:rsid w:val="00F13EF8"/>
    <w:rsid w:val="00F47789"/>
    <w:rsid w:val="00FA7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FF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1E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1EEB"/>
    <w:rPr>
      <w:sz w:val="18"/>
      <w:szCs w:val="18"/>
    </w:rPr>
  </w:style>
  <w:style w:type="paragraph" w:styleId="a4">
    <w:name w:val="footer"/>
    <w:basedOn w:val="a"/>
    <w:link w:val="Char0"/>
    <w:uiPriority w:val="99"/>
    <w:unhideWhenUsed/>
    <w:rsid w:val="00A21EEB"/>
    <w:pPr>
      <w:tabs>
        <w:tab w:val="center" w:pos="4153"/>
        <w:tab w:val="right" w:pos="8306"/>
      </w:tabs>
      <w:snapToGrid w:val="0"/>
      <w:jc w:val="left"/>
    </w:pPr>
    <w:rPr>
      <w:sz w:val="18"/>
      <w:szCs w:val="18"/>
    </w:rPr>
  </w:style>
  <w:style w:type="character" w:customStyle="1" w:styleId="Char0">
    <w:name w:val="页脚 Char"/>
    <w:basedOn w:val="a0"/>
    <w:link w:val="a4"/>
    <w:uiPriority w:val="99"/>
    <w:rsid w:val="00A21EEB"/>
    <w:rPr>
      <w:sz w:val="18"/>
      <w:szCs w:val="18"/>
    </w:rPr>
  </w:style>
  <w:style w:type="paragraph" w:styleId="a5">
    <w:name w:val="annotation text"/>
    <w:basedOn w:val="a"/>
    <w:link w:val="Char1"/>
    <w:unhideWhenUsed/>
    <w:rsid w:val="00A21EEB"/>
    <w:pPr>
      <w:jc w:val="left"/>
    </w:pPr>
    <w:rPr>
      <w:szCs w:val="24"/>
    </w:rPr>
  </w:style>
  <w:style w:type="character" w:customStyle="1" w:styleId="Char1">
    <w:name w:val="批注文字 Char"/>
    <w:basedOn w:val="a0"/>
    <w:link w:val="a5"/>
    <w:rsid w:val="00A21EEB"/>
    <w:rPr>
      <w:szCs w:val="24"/>
    </w:rPr>
  </w:style>
  <w:style w:type="character" w:styleId="a6">
    <w:name w:val="annotation reference"/>
    <w:basedOn w:val="a0"/>
    <w:semiHidden/>
    <w:unhideWhenUsed/>
    <w:rsid w:val="00A21EEB"/>
    <w:rPr>
      <w:sz w:val="21"/>
      <w:szCs w:val="21"/>
    </w:rPr>
  </w:style>
  <w:style w:type="paragraph" w:styleId="a7">
    <w:name w:val="Balloon Text"/>
    <w:basedOn w:val="a"/>
    <w:link w:val="Char2"/>
    <w:uiPriority w:val="99"/>
    <w:semiHidden/>
    <w:unhideWhenUsed/>
    <w:rsid w:val="00A21EEB"/>
    <w:rPr>
      <w:sz w:val="18"/>
      <w:szCs w:val="18"/>
    </w:rPr>
  </w:style>
  <w:style w:type="character" w:customStyle="1" w:styleId="Char2">
    <w:name w:val="批注框文本 Char"/>
    <w:basedOn w:val="a0"/>
    <w:link w:val="a7"/>
    <w:uiPriority w:val="99"/>
    <w:semiHidden/>
    <w:rsid w:val="00A21E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1E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21EEB"/>
    <w:rPr>
      <w:sz w:val="18"/>
      <w:szCs w:val="18"/>
    </w:rPr>
  </w:style>
  <w:style w:type="paragraph" w:styleId="a4">
    <w:name w:val="footer"/>
    <w:basedOn w:val="a"/>
    <w:link w:val="Char0"/>
    <w:uiPriority w:val="99"/>
    <w:unhideWhenUsed/>
    <w:rsid w:val="00A21EEB"/>
    <w:pPr>
      <w:tabs>
        <w:tab w:val="center" w:pos="4153"/>
        <w:tab w:val="right" w:pos="8306"/>
      </w:tabs>
      <w:snapToGrid w:val="0"/>
      <w:jc w:val="left"/>
    </w:pPr>
    <w:rPr>
      <w:sz w:val="18"/>
      <w:szCs w:val="18"/>
    </w:rPr>
  </w:style>
  <w:style w:type="character" w:customStyle="1" w:styleId="Char0">
    <w:name w:val="页脚 Char"/>
    <w:basedOn w:val="a0"/>
    <w:link w:val="a4"/>
    <w:uiPriority w:val="99"/>
    <w:rsid w:val="00A21EEB"/>
    <w:rPr>
      <w:sz w:val="18"/>
      <w:szCs w:val="18"/>
    </w:rPr>
  </w:style>
  <w:style w:type="paragraph" w:styleId="a5">
    <w:name w:val="annotation text"/>
    <w:basedOn w:val="a"/>
    <w:link w:val="Char1"/>
    <w:unhideWhenUsed/>
    <w:rsid w:val="00A21EEB"/>
    <w:pPr>
      <w:jc w:val="left"/>
    </w:pPr>
    <w:rPr>
      <w:szCs w:val="24"/>
    </w:rPr>
  </w:style>
  <w:style w:type="character" w:customStyle="1" w:styleId="Char1">
    <w:name w:val="批注文字 Char"/>
    <w:basedOn w:val="a0"/>
    <w:link w:val="a5"/>
    <w:rsid w:val="00A21EEB"/>
    <w:rPr>
      <w:szCs w:val="24"/>
    </w:rPr>
  </w:style>
  <w:style w:type="character" w:styleId="a6">
    <w:name w:val="annotation reference"/>
    <w:basedOn w:val="a0"/>
    <w:semiHidden/>
    <w:unhideWhenUsed/>
    <w:rsid w:val="00A21EEB"/>
    <w:rPr>
      <w:sz w:val="21"/>
      <w:szCs w:val="21"/>
    </w:rPr>
  </w:style>
  <w:style w:type="paragraph" w:styleId="a7">
    <w:name w:val="Balloon Text"/>
    <w:basedOn w:val="a"/>
    <w:link w:val="Char2"/>
    <w:uiPriority w:val="99"/>
    <w:semiHidden/>
    <w:unhideWhenUsed/>
    <w:rsid w:val="00A21EEB"/>
    <w:rPr>
      <w:sz w:val="18"/>
      <w:szCs w:val="18"/>
    </w:rPr>
  </w:style>
  <w:style w:type="character" w:customStyle="1" w:styleId="Char2">
    <w:name w:val="批注框文本 Char"/>
    <w:basedOn w:val="a0"/>
    <w:link w:val="a7"/>
    <w:uiPriority w:val="99"/>
    <w:semiHidden/>
    <w:rsid w:val="00A21E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2</Pages>
  <Words>472</Words>
  <Characters>2692</Characters>
  <Application>Microsoft Office Word</Application>
  <DocSecurity>0</DocSecurity>
  <Lines>22</Lines>
  <Paragraphs>6</Paragraphs>
  <ScaleCrop>false</ScaleCrop>
  <Company>West China Hospital of Stomatology</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Siyuan Hao</dc:creator>
  <cp:keywords/>
  <dc:description/>
  <cp:lastModifiedBy>Siyuan Hao</cp:lastModifiedBy>
  <cp:revision>22</cp:revision>
  <dcterms:created xsi:type="dcterms:W3CDTF">2022-02-05T01:24:00Z</dcterms:created>
  <dcterms:modified xsi:type="dcterms:W3CDTF">2022-02-26T02:36:00Z</dcterms:modified>
</cp:coreProperties>
</file>