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78E" w:rsidRDefault="00F3778E" w:rsidP="00F3778E">
      <w:pPr>
        <w:pStyle w:val="Newparagraph"/>
        <w:adjustRightInd w:val="0"/>
        <w:snapToGrid w:val="0"/>
        <w:spacing w:line="240" w:lineRule="auto"/>
        <w:ind w:firstLine="0"/>
      </w:pPr>
      <w:bookmarkStart w:id="0" w:name="_Hlk87861464"/>
      <w:bookmarkStart w:id="1" w:name="_Hlk87861669"/>
      <w:bookmarkStart w:id="2" w:name="_Hlk87861420"/>
      <w:r w:rsidRPr="00BF7591">
        <w:rPr>
          <w:b/>
          <w:color w:val="FF0000"/>
          <w:lang w:val="en-US"/>
        </w:rPr>
        <w:t>Supplementary Table</w:t>
      </w:r>
      <w:r w:rsidRPr="00BF7591">
        <w:rPr>
          <w:b/>
          <w:color w:val="FF0000"/>
        </w:rPr>
        <w:t xml:space="preserve"> </w:t>
      </w:r>
      <w:r w:rsidR="00045B6E" w:rsidRPr="00BF7591">
        <w:rPr>
          <w:b/>
          <w:color w:val="FF0000"/>
        </w:rPr>
        <w:t>2</w:t>
      </w:r>
      <w:r w:rsidRPr="00BF7591">
        <w:rPr>
          <w:b/>
          <w:color w:val="FF0000"/>
        </w:rPr>
        <w:t>.</w:t>
      </w:r>
      <w:r w:rsidRPr="00BF7591">
        <w:rPr>
          <w:color w:val="FF0000"/>
        </w:rPr>
        <w:t xml:space="preserve"> </w:t>
      </w:r>
      <w:r w:rsidRPr="00F612EF">
        <w:t>Multivaria</w:t>
      </w:r>
      <w:r w:rsidR="003927FD">
        <w:t>t</w:t>
      </w:r>
      <w:r w:rsidRPr="00F612EF">
        <w:t xml:space="preserve">e binary logistic regression analysis for </w:t>
      </w:r>
      <w:r w:rsidR="003927FD">
        <w:t xml:space="preserve">the </w:t>
      </w:r>
      <w:r w:rsidRPr="00F612EF">
        <w:t>association of osteoprotegerin levels with functional outcome</w:t>
      </w:r>
      <w:r w:rsidR="003927FD">
        <w:t>s</w:t>
      </w:r>
    </w:p>
    <w:p w:rsidR="00F3778E" w:rsidRPr="00F612EF" w:rsidRDefault="00F3778E" w:rsidP="00F3778E">
      <w:pPr>
        <w:pStyle w:val="Newparagraph"/>
        <w:adjustRightInd w:val="0"/>
        <w:snapToGrid w:val="0"/>
        <w:spacing w:line="240" w:lineRule="auto"/>
        <w:ind w:firstLine="0"/>
      </w:pPr>
    </w:p>
    <w:tbl>
      <w:tblPr>
        <w:tblW w:w="4968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6"/>
        <w:gridCol w:w="2550"/>
        <w:gridCol w:w="2550"/>
        <w:gridCol w:w="2550"/>
        <w:gridCol w:w="2553"/>
      </w:tblGrid>
      <w:tr w:rsidR="00F3778E" w:rsidRPr="006B4219" w:rsidTr="006D5234">
        <w:trPr>
          <w:trHeight w:val="62"/>
        </w:trPr>
        <w:tc>
          <w:tcPr>
            <w:tcW w:w="1251" w:type="pct"/>
            <w:vMerge w:val="restart"/>
            <w:tcBorders>
              <w:top w:val="single" w:sz="8" w:space="0" w:color="auto"/>
            </w:tcBorders>
            <w:vAlign w:val="center"/>
          </w:tcPr>
          <w:p w:rsidR="00F3778E" w:rsidRPr="00A77A62" w:rsidRDefault="00F3778E" w:rsidP="006D5234">
            <w:pPr>
              <w:pStyle w:val="a3"/>
              <w:jc w:val="both"/>
              <w:rPr>
                <w:sz w:val="20"/>
                <w:szCs w:val="20"/>
              </w:rPr>
            </w:pPr>
            <w:r w:rsidRPr="00A77A62">
              <w:rPr>
                <w:sz w:val="20"/>
                <w:szCs w:val="20"/>
              </w:rPr>
              <w:t>Variables</w:t>
            </w:r>
          </w:p>
        </w:tc>
        <w:tc>
          <w:tcPr>
            <w:tcW w:w="937" w:type="pct"/>
            <w:vMerge w:val="restart"/>
            <w:tcBorders>
              <w:top w:val="single" w:sz="8" w:space="0" w:color="auto"/>
            </w:tcBorders>
            <w:vAlign w:val="center"/>
          </w:tcPr>
          <w:p w:rsidR="00F3778E" w:rsidRPr="00A77A62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77A62">
              <w:rPr>
                <w:sz w:val="20"/>
                <w:szCs w:val="20"/>
              </w:rPr>
              <w:t>Univaria</w:t>
            </w:r>
            <w:r w:rsidR="003927FD">
              <w:rPr>
                <w:sz w:val="20"/>
                <w:szCs w:val="20"/>
              </w:rPr>
              <w:t>t</w:t>
            </w:r>
            <w:r w:rsidRPr="00A77A62">
              <w:rPr>
                <w:sz w:val="20"/>
                <w:szCs w:val="20"/>
              </w:rPr>
              <w:t xml:space="preserve">e binary </w:t>
            </w:r>
          </w:p>
          <w:p w:rsidR="00F3778E" w:rsidRPr="00A77A62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77A62">
              <w:rPr>
                <w:sz w:val="20"/>
                <w:szCs w:val="20"/>
              </w:rPr>
              <w:t>logistic regression</w:t>
            </w:r>
          </w:p>
          <w:p w:rsidR="00F3778E" w:rsidRPr="00A77A62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77A62">
              <w:rPr>
                <w:sz w:val="20"/>
                <w:szCs w:val="20"/>
              </w:rPr>
              <w:t>OR (95% CI)</w:t>
            </w:r>
          </w:p>
        </w:tc>
        <w:tc>
          <w:tcPr>
            <w:tcW w:w="2811" w:type="pct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3778E" w:rsidRPr="00A77A62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77A62">
              <w:rPr>
                <w:sz w:val="20"/>
                <w:szCs w:val="20"/>
              </w:rPr>
              <w:t>Multivaria</w:t>
            </w:r>
            <w:r w:rsidR="003927FD">
              <w:rPr>
                <w:sz w:val="20"/>
                <w:szCs w:val="20"/>
              </w:rPr>
              <w:t>te</w:t>
            </w:r>
            <w:r w:rsidRPr="00A77A62">
              <w:rPr>
                <w:sz w:val="20"/>
                <w:szCs w:val="20"/>
              </w:rPr>
              <w:t xml:space="preserve"> binary logistic regression</w:t>
            </w:r>
          </w:p>
          <w:p w:rsidR="00F3778E" w:rsidRPr="00A77A62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77A62">
              <w:rPr>
                <w:sz w:val="20"/>
                <w:szCs w:val="20"/>
              </w:rPr>
              <w:t>OR (95% CI)</w:t>
            </w:r>
          </w:p>
        </w:tc>
      </w:tr>
      <w:tr w:rsidR="00F3778E" w:rsidRPr="006B4219" w:rsidTr="006D5234">
        <w:trPr>
          <w:trHeight w:val="62"/>
        </w:trPr>
        <w:tc>
          <w:tcPr>
            <w:tcW w:w="1251" w:type="pct"/>
            <w:vMerge/>
            <w:tcBorders>
              <w:bottom w:val="single" w:sz="4" w:space="0" w:color="auto"/>
            </w:tcBorders>
            <w:vAlign w:val="center"/>
          </w:tcPr>
          <w:p w:rsidR="00F3778E" w:rsidRPr="00A77A62" w:rsidRDefault="00F3778E" w:rsidP="006D5234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pct"/>
            <w:vMerge/>
            <w:tcBorders>
              <w:bottom w:val="single" w:sz="4" w:space="0" w:color="auto"/>
            </w:tcBorders>
            <w:vAlign w:val="center"/>
          </w:tcPr>
          <w:p w:rsidR="00F3778E" w:rsidRPr="00A77A62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3778E" w:rsidRPr="00A77A62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77A62">
              <w:rPr>
                <w:rFonts w:eastAsiaTheme="minorEastAsia"/>
                <w:sz w:val="20"/>
                <w:szCs w:val="20"/>
                <w:lang w:eastAsia="ko-KR"/>
              </w:rPr>
              <w:t>Model</w:t>
            </w:r>
            <w:r w:rsidRPr="00A77A62">
              <w:rPr>
                <w:sz w:val="20"/>
                <w:szCs w:val="20"/>
              </w:rPr>
              <w:t xml:space="preserve"> </w:t>
            </w:r>
            <w:r w:rsidRPr="00A77A62">
              <w:rPr>
                <w:rFonts w:eastAsiaTheme="minorEastAsia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37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3778E" w:rsidRPr="00A77A62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77A62">
              <w:rPr>
                <w:rFonts w:eastAsiaTheme="minorEastAsia"/>
                <w:sz w:val="20"/>
                <w:szCs w:val="20"/>
                <w:lang w:eastAsia="ko-KR"/>
              </w:rPr>
              <w:t>Model</w:t>
            </w:r>
            <w:r w:rsidRPr="00A77A62">
              <w:rPr>
                <w:sz w:val="20"/>
                <w:szCs w:val="20"/>
              </w:rPr>
              <w:t xml:space="preserve"> </w:t>
            </w:r>
            <w:r w:rsidRPr="00A77A62">
              <w:rPr>
                <w:rFonts w:eastAsiaTheme="minorEastAsia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938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3778E" w:rsidRPr="00A77A62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77A62">
              <w:rPr>
                <w:rFonts w:eastAsiaTheme="minorEastAsia"/>
                <w:sz w:val="20"/>
                <w:szCs w:val="20"/>
                <w:lang w:eastAsia="ko-KR"/>
              </w:rPr>
              <w:t>Model</w:t>
            </w:r>
            <w:r w:rsidRPr="00A77A62">
              <w:rPr>
                <w:sz w:val="20"/>
                <w:szCs w:val="20"/>
              </w:rPr>
              <w:t xml:space="preserve"> </w:t>
            </w:r>
            <w:r w:rsidRPr="00A77A62">
              <w:rPr>
                <w:rFonts w:eastAsiaTheme="minorEastAsia"/>
                <w:sz w:val="20"/>
                <w:szCs w:val="20"/>
                <w:lang w:eastAsia="ko-KR"/>
              </w:rPr>
              <w:t>3</w:t>
            </w:r>
          </w:p>
        </w:tc>
      </w:tr>
      <w:tr w:rsidR="00F3778E" w:rsidRPr="006B4219" w:rsidTr="006D5234">
        <w:trPr>
          <w:trHeight w:val="62"/>
        </w:trPr>
        <w:tc>
          <w:tcPr>
            <w:tcW w:w="1251" w:type="pct"/>
            <w:tcBorders>
              <w:top w:val="single" w:sz="4" w:space="0" w:color="auto"/>
            </w:tcBorders>
            <w:vAlign w:val="center"/>
            <w:hideMark/>
          </w:tcPr>
          <w:p w:rsidR="00F3778E" w:rsidRPr="00A42237" w:rsidRDefault="00F3778E" w:rsidP="006D5234">
            <w:pPr>
              <w:pStyle w:val="a3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Demographics and risk factors</w:t>
            </w:r>
          </w:p>
        </w:tc>
        <w:tc>
          <w:tcPr>
            <w:tcW w:w="937" w:type="pct"/>
            <w:tcBorders>
              <w:top w:val="single" w:sz="4" w:space="0" w:color="auto"/>
            </w:tcBorders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</w:tcBorders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</w:tcBorders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F3778E" w:rsidRPr="006B4219" w:rsidTr="006D5234">
        <w:trPr>
          <w:trHeight w:val="83"/>
        </w:trPr>
        <w:tc>
          <w:tcPr>
            <w:tcW w:w="1251" w:type="pct"/>
            <w:vAlign w:val="center"/>
            <w:hideMark/>
          </w:tcPr>
          <w:p w:rsidR="00F3778E" w:rsidRPr="00A42237" w:rsidRDefault="00F3778E" w:rsidP="006D5234">
            <w:pPr>
              <w:pStyle w:val="a3"/>
              <w:ind w:firstLineChars="50" w:firstLine="100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Sex, male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0.890 (0.584 – 1.357)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1.818 (0.964 – 3.488)</w:t>
            </w:r>
            <w:r w:rsidRPr="00A42237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1.818 (0.964 - 3.488)</w:t>
            </w:r>
            <w:r w:rsidRPr="00A42237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938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1.950 (1.022 - 3.796)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</w:tr>
      <w:tr w:rsidR="00F3778E" w:rsidRPr="006B4219" w:rsidTr="006D5234">
        <w:trPr>
          <w:trHeight w:val="83"/>
        </w:trPr>
        <w:tc>
          <w:tcPr>
            <w:tcW w:w="1251" w:type="pct"/>
            <w:vAlign w:val="center"/>
            <w:hideMark/>
          </w:tcPr>
          <w:p w:rsidR="00F3778E" w:rsidRPr="00A42237" w:rsidRDefault="00F3778E" w:rsidP="006D5234">
            <w:pPr>
              <w:pStyle w:val="a3"/>
              <w:ind w:firstLineChars="50" w:firstLine="100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Age, years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A42237">
              <w:rPr>
                <w:color w:val="000000" w:themeColor="text1"/>
                <w:sz w:val="20"/>
                <w:szCs w:val="20"/>
              </w:rPr>
              <w:t>1.031 (1.014 – 1.049)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A42237">
              <w:rPr>
                <w:color w:val="000000" w:themeColor="text1"/>
                <w:sz w:val="20"/>
                <w:szCs w:val="20"/>
              </w:rPr>
              <w:t>1.025 (1.002 - 1.050)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A42237">
              <w:rPr>
                <w:color w:val="000000" w:themeColor="text1"/>
                <w:sz w:val="20"/>
                <w:szCs w:val="20"/>
              </w:rPr>
              <w:t>1.025 (1.002 - 1.050)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8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A42237">
              <w:rPr>
                <w:color w:val="000000" w:themeColor="text1"/>
                <w:sz w:val="20"/>
                <w:szCs w:val="20"/>
              </w:rPr>
              <w:t>1.026 (1.003 - 1.050)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</w:tr>
      <w:tr w:rsidR="00F3778E" w:rsidRPr="006B4219" w:rsidTr="006D5234">
        <w:trPr>
          <w:trHeight w:val="68"/>
        </w:trPr>
        <w:tc>
          <w:tcPr>
            <w:tcW w:w="1251" w:type="pct"/>
            <w:vAlign w:val="center"/>
            <w:hideMark/>
          </w:tcPr>
          <w:p w:rsidR="00F3778E" w:rsidRPr="00A42237" w:rsidRDefault="00F3778E" w:rsidP="006D5234">
            <w:pPr>
              <w:pStyle w:val="a3"/>
              <w:ind w:firstLineChars="50" w:firstLine="100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Body mass index, kg/m</w:t>
            </w:r>
            <w:r w:rsidRPr="00A4223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A42237">
              <w:rPr>
                <w:color w:val="000000" w:themeColor="text1"/>
                <w:sz w:val="20"/>
                <w:szCs w:val="20"/>
              </w:rPr>
              <w:t>0.957 (0.907 – 1.009)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A42237">
              <w:rPr>
                <w:color w:val="000000" w:themeColor="text1"/>
                <w:sz w:val="20"/>
                <w:szCs w:val="20"/>
              </w:rPr>
              <w:t>0.970 (0.895 - 1.049)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A42237">
              <w:rPr>
                <w:color w:val="000000" w:themeColor="text1"/>
                <w:sz w:val="20"/>
                <w:szCs w:val="20"/>
              </w:rPr>
              <w:t>0.970 (0.895 - 1.049)</w:t>
            </w:r>
          </w:p>
        </w:tc>
        <w:tc>
          <w:tcPr>
            <w:tcW w:w="938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A42237">
              <w:rPr>
                <w:color w:val="000000" w:themeColor="text1"/>
                <w:sz w:val="20"/>
                <w:szCs w:val="20"/>
              </w:rPr>
              <w:t>0.966 (0.892 - 1.046)</w:t>
            </w:r>
          </w:p>
        </w:tc>
      </w:tr>
      <w:tr w:rsidR="00F3778E" w:rsidRPr="006B4219" w:rsidTr="006D5234">
        <w:trPr>
          <w:trHeight w:val="83"/>
        </w:trPr>
        <w:tc>
          <w:tcPr>
            <w:tcW w:w="1251" w:type="pct"/>
            <w:vAlign w:val="center"/>
            <w:hideMark/>
          </w:tcPr>
          <w:p w:rsidR="00F3778E" w:rsidRPr="00A42237" w:rsidRDefault="00F3778E" w:rsidP="006D5234">
            <w:pPr>
              <w:pStyle w:val="a3"/>
              <w:ind w:firstLineChars="50" w:firstLine="100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Diabetes mellitus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2.989 (1.930 – 4.681)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2.000 (1.108 - 3.647)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2.000 (1.108 - 3.647)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8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2.034 (1.124 - 3.718)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</w:tr>
      <w:tr w:rsidR="00F3778E" w:rsidRPr="006B4219" w:rsidTr="006D5234">
        <w:trPr>
          <w:trHeight w:val="83"/>
        </w:trPr>
        <w:tc>
          <w:tcPr>
            <w:tcW w:w="1251" w:type="pct"/>
            <w:vAlign w:val="center"/>
          </w:tcPr>
          <w:p w:rsidR="00F3778E" w:rsidRPr="00A42237" w:rsidRDefault="00F3778E" w:rsidP="006D5234">
            <w:pPr>
              <w:pStyle w:val="a3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NIHSS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1.170 (1.123 – 1.224)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1.183 (1.123 - 1.253)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1.183 (1.123 - 1.253)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8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1.176 (1.116 - 1.246)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</w:tr>
      <w:tr w:rsidR="00F3778E" w:rsidRPr="006B4219" w:rsidTr="006D5234">
        <w:trPr>
          <w:trHeight w:val="83"/>
        </w:trPr>
        <w:tc>
          <w:tcPr>
            <w:tcW w:w="1251" w:type="pct"/>
            <w:vAlign w:val="center"/>
          </w:tcPr>
          <w:p w:rsidR="00F3778E" w:rsidRPr="00A42237" w:rsidRDefault="00F3778E" w:rsidP="006D5234">
            <w:pPr>
              <w:pStyle w:val="a3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Thrombolysis related factors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</w:p>
        </w:tc>
        <w:tc>
          <w:tcPr>
            <w:tcW w:w="938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</w:p>
        </w:tc>
      </w:tr>
      <w:tr w:rsidR="00F3778E" w:rsidRPr="006B4219" w:rsidTr="006D5234">
        <w:trPr>
          <w:trHeight w:val="83"/>
        </w:trPr>
        <w:tc>
          <w:tcPr>
            <w:tcW w:w="1251" w:type="pct"/>
            <w:vAlign w:val="center"/>
          </w:tcPr>
          <w:p w:rsidR="00F3778E" w:rsidRPr="00A42237" w:rsidRDefault="00F3778E" w:rsidP="006D5234">
            <w:pPr>
              <w:pStyle w:val="a3"/>
              <w:ind w:firstLineChars="100" w:firstLine="200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Thrombolysis methods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F3778E" w:rsidRPr="006B4219" w:rsidTr="006D5234">
        <w:trPr>
          <w:trHeight w:val="83"/>
        </w:trPr>
        <w:tc>
          <w:tcPr>
            <w:tcW w:w="1251" w:type="pct"/>
            <w:vAlign w:val="center"/>
          </w:tcPr>
          <w:p w:rsidR="00F3778E" w:rsidRPr="00A42237" w:rsidRDefault="00F3778E" w:rsidP="006D5234">
            <w:pPr>
              <w:pStyle w:val="a3"/>
              <w:ind w:firstLineChars="150" w:firstLine="300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Mechanical thrombectomy only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Reference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Reference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Reference</w:t>
            </w:r>
          </w:p>
        </w:tc>
        <w:tc>
          <w:tcPr>
            <w:tcW w:w="938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Reference</w:t>
            </w:r>
          </w:p>
        </w:tc>
      </w:tr>
      <w:tr w:rsidR="00F3778E" w:rsidRPr="006B4219" w:rsidTr="006D5234">
        <w:trPr>
          <w:trHeight w:val="83"/>
        </w:trPr>
        <w:tc>
          <w:tcPr>
            <w:tcW w:w="1251" w:type="pct"/>
            <w:vAlign w:val="center"/>
          </w:tcPr>
          <w:p w:rsidR="00F3778E" w:rsidRPr="00A42237" w:rsidRDefault="00F3778E" w:rsidP="006D5234">
            <w:pPr>
              <w:pStyle w:val="a3"/>
              <w:ind w:firstLineChars="150" w:firstLine="300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tPA and mechanical thrombectomy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0.573 (0.367 – 0.885)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0.683 (0.383 - 1.210)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0.683 (0.383 - 1.210)</w:t>
            </w:r>
          </w:p>
        </w:tc>
        <w:tc>
          <w:tcPr>
            <w:tcW w:w="938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0.690 (0.386 - 1.226)</w:t>
            </w:r>
          </w:p>
        </w:tc>
      </w:tr>
      <w:tr w:rsidR="00F3778E" w:rsidRPr="006B4219" w:rsidTr="006D5234">
        <w:trPr>
          <w:trHeight w:val="83"/>
        </w:trPr>
        <w:tc>
          <w:tcPr>
            <w:tcW w:w="1251" w:type="pct"/>
            <w:vAlign w:val="center"/>
          </w:tcPr>
          <w:p w:rsidR="00F3778E" w:rsidRPr="00A42237" w:rsidRDefault="00F3778E" w:rsidP="006D5234">
            <w:pPr>
              <w:pStyle w:val="a3"/>
              <w:ind w:leftChars="100" w:left="240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Number of trials for thrombectomy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1.179 (1.044 – 1.338)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1.001 (0.857 - 1.176)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1.001 (0.857 - 1.176)</w:t>
            </w:r>
          </w:p>
        </w:tc>
        <w:tc>
          <w:tcPr>
            <w:tcW w:w="938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1.009 (0.862 - 1.187)</w:t>
            </w:r>
          </w:p>
        </w:tc>
      </w:tr>
      <w:tr w:rsidR="00F3778E" w:rsidRPr="006B4219" w:rsidTr="006D5234">
        <w:trPr>
          <w:trHeight w:val="83"/>
        </w:trPr>
        <w:tc>
          <w:tcPr>
            <w:tcW w:w="1251" w:type="pct"/>
            <w:vAlign w:val="center"/>
          </w:tcPr>
          <w:p w:rsidR="00F3778E" w:rsidRPr="00A42237" w:rsidRDefault="00F3778E" w:rsidP="003927FD">
            <w:pPr>
              <w:pStyle w:val="a3"/>
              <w:ind w:firstLineChars="100" w:firstLine="200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Recanalization (TICI IIb or III)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0.173 (0.083 – 0.335)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0.100 (0.038 - 0.241)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0.100 (0.038 - 0.241)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8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0.104 (0.040 - 0.248)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 xml:space="preserve"> *</w:t>
            </w:r>
          </w:p>
        </w:tc>
      </w:tr>
      <w:tr w:rsidR="00F3778E" w:rsidRPr="006B4219" w:rsidTr="006D5234">
        <w:trPr>
          <w:trHeight w:val="83"/>
        </w:trPr>
        <w:tc>
          <w:tcPr>
            <w:tcW w:w="1251" w:type="pct"/>
            <w:vAlign w:val="center"/>
          </w:tcPr>
          <w:p w:rsidR="00F3778E" w:rsidRPr="00A42237" w:rsidRDefault="00F3778E" w:rsidP="006D5234">
            <w:pPr>
              <w:pStyle w:val="a3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Any hemorrhagic transformation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2.179 (1.406 – 3.392)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1.976 (1.122 - 3.505)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1.976 (1.12 – 3.50)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8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1.925 (1.091 - 3.419)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</w:tr>
      <w:tr w:rsidR="00F3778E" w:rsidRPr="006B4219" w:rsidTr="006D5234">
        <w:trPr>
          <w:trHeight w:val="83"/>
        </w:trPr>
        <w:tc>
          <w:tcPr>
            <w:tcW w:w="1251" w:type="pct"/>
            <w:vAlign w:val="center"/>
          </w:tcPr>
          <w:p w:rsidR="00F3778E" w:rsidRPr="00A42237" w:rsidRDefault="00F3778E" w:rsidP="006D5234">
            <w:pPr>
              <w:pStyle w:val="a3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sz w:val="20"/>
                <w:szCs w:val="20"/>
              </w:rPr>
              <w:t>Blood laboratory findings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F3778E" w:rsidRPr="006B4219" w:rsidTr="006D5234">
        <w:trPr>
          <w:trHeight w:val="83"/>
        </w:trPr>
        <w:tc>
          <w:tcPr>
            <w:tcW w:w="1251" w:type="pct"/>
            <w:vAlign w:val="center"/>
          </w:tcPr>
          <w:p w:rsidR="00F3778E" w:rsidRPr="00A42237" w:rsidRDefault="00F3778E" w:rsidP="006D5234">
            <w:pPr>
              <w:pStyle w:val="a3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 xml:space="preserve"> White blood cell count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sz w:val="20"/>
                <w:szCs w:val="20"/>
              </w:rPr>
              <w:t>1.047 (0.993 – 1.112)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sz w:val="20"/>
                <w:szCs w:val="20"/>
              </w:rPr>
              <w:t>1.051 (0.977 – 1.128)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1.051 (0.977 – 1.128)</w:t>
            </w:r>
          </w:p>
        </w:tc>
        <w:tc>
          <w:tcPr>
            <w:tcW w:w="938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1.055 (0.980 - 1.133)</w:t>
            </w:r>
          </w:p>
        </w:tc>
      </w:tr>
      <w:tr w:rsidR="00F3778E" w:rsidRPr="006B4219" w:rsidTr="006D5234">
        <w:trPr>
          <w:trHeight w:val="83"/>
        </w:trPr>
        <w:tc>
          <w:tcPr>
            <w:tcW w:w="1251" w:type="pct"/>
            <w:vAlign w:val="center"/>
            <w:hideMark/>
          </w:tcPr>
          <w:p w:rsidR="00F3778E" w:rsidRPr="00A42237" w:rsidRDefault="00F3778E" w:rsidP="006D5234">
            <w:pPr>
              <w:pStyle w:val="a3"/>
              <w:ind w:firstLineChars="50" w:firstLine="100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Vitamin D 25(OH)D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0.955 (0.925 – 0.985)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0.966 (0.927 - 1.005)</w:t>
            </w:r>
            <w:r w:rsidRPr="00A42237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0.966 (0.927 - 1.005)</w:t>
            </w:r>
            <w:r w:rsidRPr="00A42237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938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0.967 (0.928 - 1.006)</w:t>
            </w:r>
          </w:p>
        </w:tc>
      </w:tr>
      <w:tr w:rsidR="00F3778E" w:rsidRPr="006B4219" w:rsidTr="006D5234">
        <w:trPr>
          <w:trHeight w:val="83"/>
        </w:trPr>
        <w:tc>
          <w:tcPr>
            <w:tcW w:w="1251" w:type="pct"/>
            <w:vAlign w:val="center"/>
            <w:hideMark/>
          </w:tcPr>
          <w:p w:rsidR="00F3778E" w:rsidRPr="00A42237" w:rsidRDefault="00F3778E" w:rsidP="006D5234">
            <w:pPr>
              <w:pStyle w:val="a3"/>
              <w:ind w:firstLineChars="50" w:firstLine="100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Glucose at admission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1.005 (1.001 – 1.010)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1.004 (0.998 – 1.010)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1.004 (0.998 – 1.010)</w:t>
            </w:r>
          </w:p>
        </w:tc>
        <w:tc>
          <w:tcPr>
            <w:tcW w:w="938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1.004 (0.998 - 1.010)</w:t>
            </w:r>
          </w:p>
        </w:tc>
      </w:tr>
      <w:tr w:rsidR="00F3778E" w:rsidRPr="006B4219" w:rsidTr="006D5234">
        <w:trPr>
          <w:trHeight w:val="83"/>
        </w:trPr>
        <w:tc>
          <w:tcPr>
            <w:tcW w:w="1251" w:type="pct"/>
            <w:vAlign w:val="center"/>
            <w:hideMark/>
          </w:tcPr>
          <w:p w:rsidR="00F3778E" w:rsidRPr="00A42237" w:rsidRDefault="00F3778E" w:rsidP="006D5234">
            <w:pPr>
              <w:pStyle w:val="a3"/>
              <w:ind w:firstLineChars="50" w:firstLine="100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Total cholesterol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0.996 (0.991 – 1.000)</w:t>
            </w:r>
            <w:r w:rsidRPr="00A42237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0.998 (0.990 – 1.005)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0.998 (0.990 – 1.005)</w:t>
            </w:r>
          </w:p>
        </w:tc>
        <w:tc>
          <w:tcPr>
            <w:tcW w:w="938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0.998 (0.991 - 1.005)</w:t>
            </w:r>
          </w:p>
        </w:tc>
      </w:tr>
      <w:tr w:rsidR="00F3778E" w:rsidRPr="006B4219" w:rsidTr="006D5234">
        <w:trPr>
          <w:trHeight w:val="83"/>
        </w:trPr>
        <w:tc>
          <w:tcPr>
            <w:tcW w:w="1251" w:type="pct"/>
            <w:vAlign w:val="center"/>
            <w:hideMark/>
          </w:tcPr>
          <w:p w:rsidR="00F3778E" w:rsidRPr="00A42237" w:rsidRDefault="00F3778E" w:rsidP="006D5234">
            <w:pPr>
              <w:pStyle w:val="a3"/>
              <w:ind w:firstLineChars="50" w:firstLine="100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Hemoglobin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0.858 (0.772 – 0.952)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0.858 (0.735 – 0.996)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0.858 (0.735 – 0.996)</w:t>
            </w:r>
            <w:r w:rsidRPr="00A42237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938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0.858 (0.735 – 0.997)</w:t>
            </w:r>
            <w:r w:rsidRPr="00A42237">
              <w:rPr>
                <w:sz w:val="20"/>
                <w:szCs w:val="20"/>
                <w:vertAlign w:val="superscript"/>
              </w:rPr>
              <w:t>†</w:t>
            </w:r>
          </w:p>
        </w:tc>
      </w:tr>
      <w:tr w:rsidR="00F3778E" w:rsidRPr="006B4219" w:rsidTr="006D5234">
        <w:trPr>
          <w:trHeight w:val="83"/>
        </w:trPr>
        <w:tc>
          <w:tcPr>
            <w:tcW w:w="1251" w:type="pct"/>
            <w:tcBorders>
              <w:bottom w:val="single" w:sz="4" w:space="0" w:color="auto"/>
            </w:tcBorders>
            <w:vAlign w:val="center"/>
            <w:hideMark/>
          </w:tcPr>
          <w:p w:rsidR="00F3778E" w:rsidRPr="00A42237" w:rsidRDefault="00F3778E" w:rsidP="006D5234">
            <w:pPr>
              <w:pStyle w:val="a3"/>
              <w:ind w:firstLineChars="50" w:firstLine="100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C-reactive protein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1.207 (1.034 – 1.468)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1.346 (1.089 – 1.755)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1.346 (1.089 – 1.755)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1.336 (1.085 - 1.750)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</w:tr>
    </w:tbl>
    <w:p w:rsidR="00F3778E" w:rsidRPr="00F612EF" w:rsidRDefault="00F3778E" w:rsidP="00F3778E">
      <w:pPr>
        <w:pStyle w:val="a3"/>
      </w:pPr>
      <w:r w:rsidRPr="00F612EF">
        <w:t xml:space="preserve">Data are shown as OR (95% CI). </w:t>
      </w:r>
      <w:r w:rsidRPr="00F612EF">
        <w:rPr>
          <w:color w:val="000000" w:themeColor="text1"/>
          <w:vertAlign w:val="superscript"/>
        </w:rPr>
        <w:t>*</w:t>
      </w:r>
      <w:r w:rsidRPr="00F612EF">
        <w:rPr>
          <w:i/>
          <w:color w:val="000000" w:themeColor="text1"/>
        </w:rPr>
        <w:t>p</w:t>
      </w:r>
      <w:r w:rsidRPr="00F612EF">
        <w:rPr>
          <w:color w:val="000000" w:themeColor="text1"/>
        </w:rPr>
        <w:t>&lt;0.05,</w:t>
      </w:r>
      <w:r w:rsidRPr="00F612EF">
        <w:rPr>
          <w:color w:val="000000" w:themeColor="text1"/>
          <w:vertAlign w:val="superscript"/>
        </w:rPr>
        <w:t xml:space="preserve"> </w:t>
      </w:r>
      <w:r w:rsidRPr="00F612EF">
        <w:rPr>
          <w:vertAlign w:val="superscript"/>
        </w:rPr>
        <w:t>†</w:t>
      </w:r>
      <w:r w:rsidRPr="00F612EF">
        <w:rPr>
          <w:i/>
        </w:rPr>
        <w:t>p</w:t>
      </w:r>
      <w:r w:rsidRPr="00F612EF">
        <w:t>&lt;0.1</w:t>
      </w:r>
    </w:p>
    <w:p w:rsidR="00F3778E" w:rsidRPr="00F612EF" w:rsidRDefault="00F3778E" w:rsidP="00F3778E">
      <w:pPr>
        <w:spacing w:line="240" w:lineRule="auto"/>
      </w:pPr>
      <w:r w:rsidRPr="00F612EF">
        <w:t>OR: odds ratio, CI: confidence interval, NIHSS: National Institute of Health Stroke Scale, tPA: tissu</w:t>
      </w:r>
      <w:r w:rsidR="003927FD">
        <w:t>e plasminogen activator, TICI: t</w:t>
      </w:r>
      <w:r w:rsidRPr="00F612EF">
        <w:t>hrombolysis in cerebral infarction, SD: standard deviation.</w:t>
      </w:r>
    </w:p>
    <w:p w:rsidR="00F3778E" w:rsidRPr="00BF7591" w:rsidRDefault="00F3778E" w:rsidP="00F3778E">
      <w:pPr>
        <w:pStyle w:val="a3"/>
        <w:rPr>
          <w:color w:val="FF0000"/>
        </w:rPr>
      </w:pPr>
      <w:r w:rsidRPr="00BF7591">
        <w:rPr>
          <w:color w:val="FF0000"/>
          <w:vertAlign w:val="superscript"/>
          <w:lang w:val="en-US"/>
        </w:rPr>
        <w:t>a</w:t>
      </w:r>
      <w:r w:rsidRPr="00BF7591">
        <w:rPr>
          <w:color w:val="FF0000"/>
          <w:lang w:val="en-US"/>
        </w:rPr>
        <w:t xml:space="preserve">Adjusted for </w:t>
      </w:r>
      <w:r w:rsidRPr="00BF7591">
        <w:rPr>
          <w:color w:val="FF0000"/>
        </w:rPr>
        <w:t>sex, body mass index, and variables with p values &lt;0.1 in the univaria</w:t>
      </w:r>
      <w:r w:rsidR="003927FD">
        <w:rPr>
          <w:color w:val="FF0000"/>
        </w:rPr>
        <w:t>te</w:t>
      </w:r>
      <w:r w:rsidRPr="00BF7591">
        <w:rPr>
          <w:color w:val="FF0000"/>
        </w:rPr>
        <w:t xml:space="preserve"> analysis (age, NIHSS, DM, thrombolysis methods, number of trials for thrombectomy, successful recanalization, any hemorrhagic transformation, blood glucose level at admission, hemoglobin, total cholesterol, WBC, C-reactive protein, </w:t>
      </w:r>
      <w:bookmarkEnd w:id="0"/>
      <w:r w:rsidRPr="00BF7591">
        <w:rPr>
          <w:color w:val="FF0000"/>
        </w:rPr>
        <w:t>and vitamin D 25(OH)D)</w:t>
      </w:r>
    </w:p>
    <w:p w:rsidR="00F3778E" w:rsidRPr="00BF7591" w:rsidRDefault="00F3778E" w:rsidP="00F3778E">
      <w:pPr>
        <w:pStyle w:val="a3"/>
        <w:rPr>
          <w:color w:val="FF0000"/>
        </w:rPr>
      </w:pPr>
    </w:p>
    <w:p w:rsidR="00F3778E" w:rsidRPr="00F612EF" w:rsidRDefault="00F3778E" w:rsidP="00F3778E">
      <w:pPr>
        <w:pStyle w:val="a3"/>
        <w:rPr>
          <w:rFonts w:eastAsiaTheme="minorEastAsia"/>
          <w:lang w:val="en-US" w:eastAsia="ko-KR"/>
        </w:rPr>
      </w:pPr>
      <w:r w:rsidRPr="00BF7591">
        <w:rPr>
          <w:rFonts w:eastAsiaTheme="minorEastAsia"/>
          <w:color w:val="FF0000"/>
          <w:lang w:val="en-US" w:eastAsia="ko-KR"/>
        </w:rPr>
        <w:t>Model</w:t>
      </w:r>
      <w:r w:rsidR="003927FD">
        <w:rPr>
          <w:rFonts w:eastAsiaTheme="minorEastAsia"/>
          <w:color w:val="FF0000"/>
          <w:lang w:val="en-US" w:eastAsia="ko-KR"/>
        </w:rPr>
        <w:t>s</w:t>
      </w:r>
      <w:r w:rsidRPr="00BF7591">
        <w:rPr>
          <w:rFonts w:eastAsiaTheme="minorEastAsia"/>
          <w:color w:val="FF0000"/>
          <w:lang w:val="en-US" w:eastAsia="ko-KR"/>
        </w:rPr>
        <w:t xml:space="preserve"> 1, 2, 3 are adjusted for OPG levels </w:t>
      </w:r>
      <w:r w:rsidRPr="00BF7591">
        <w:rPr>
          <w:rFonts w:eastAsia="AdvTT5843c571"/>
          <w:color w:val="FF0000"/>
          <w:lang w:val="en-US"/>
        </w:rPr>
        <w:t>as continuous variables, per standard deviation and categorical variable (tertiles), respectively</w:t>
      </w:r>
    </w:p>
    <w:p w:rsidR="00F3778E" w:rsidRPr="006B4219" w:rsidRDefault="00F3778E" w:rsidP="00F3778E">
      <w:pPr>
        <w:spacing w:line="240" w:lineRule="auto"/>
      </w:pPr>
      <w:bookmarkStart w:id="3" w:name="_GoBack"/>
      <w:bookmarkEnd w:id="1"/>
      <w:bookmarkEnd w:id="2"/>
      <w:bookmarkEnd w:id="3"/>
    </w:p>
    <w:sectPr w:rsidR="00F3778E" w:rsidRPr="006B4219" w:rsidSect="007F53E0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F70" w:rsidRDefault="00315F70" w:rsidP="00D67528">
      <w:pPr>
        <w:spacing w:line="240" w:lineRule="auto"/>
      </w:pPr>
      <w:r>
        <w:separator/>
      </w:r>
    </w:p>
  </w:endnote>
  <w:endnote w:type="continuationSeparator" w:id="0">
    <w:p w:rsidR="00315F70" w:rsidRDefault="00315F70" w:rsidP="00D675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TT5843c571">
    <w:altName w:val="맑은 고딕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F70" w:rsidRDefault="00315F70" w:rsidP="00D67528">
      <w:pPr>
        <w:spacing w:line="240" w:lineRule="auto"/>
      </w:pPr>
      <w:r>
        <w:separator/>
      </w:r>
    </w:p>
  </w:footnote>
  <w:footnote w:type="continuationSeparator" w:id="0">
    <w:p w:rsidR="00315F70" w:rsidRDefault="00315F70" w:rsidP="00D675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E0"/>
    <w:rsid w:val="00045B6E"/>
    <w:rsid w:val="00052CB3"/>
    <w:rsid w:val="00124347"/>
    <w:rsid w:val="001367E9"/>
    <w:rsid w:val="00206C05"/>
    <w:rsid w:val="002A0417"/>
    <w:rsid w:val="00306CE6"/>
    <w:rsid w:val="00315F70"/>
    <w:rsid w:val="003429FB"/>
    <w:rsid w:val="003927FD"/>
    <w:rsid w:val="00434DAE"/>
    <w:rsid w:val="0063365C"/>
    <w:rsid w:val="00653FF1"/>
    <w:rsid w:val="006C0498"/>
    <w:rsid w:val="006D2497"/>
    <w:rsid w:val="006D5234"/>
    <w:rsid w:val="00736A03"/>
    <w:rsid w:val="00777238"/>
    <w:rsid w:val="007B3221"/>
    <w:rsid w:val="007F53E0"/>
    <w:rsid w:val="00923886"/>
    <w:rsid w:val="009F3DE5"/>
    <w:rsid w:val="00A57EF6"/>
    <w:rsid w:val="00B55378"/>
    <w:rsid w:val="00BE7AF2"/>
    <w:rsid w:val="00BF7591"/>
    <w:rsid w:val="00C22BB5"/>
    <w:rsid w:val="00C84596"/>
    <w:rsid w:val="00D67528"/>
    <w:rsid w:val="00DB187A"/>
    <w:rsid w:val="00EF1979"/>
    <w:rsid w:val="00F223FE"/>
    <w:rsid w:val="00F3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F6C7B"/>
  <w15:chartTrackingRefBased/>
  <w15:docId w15:val="{CCAA1A61-DDB1-48FB-B6DB-989A681A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3E0"/>
    <w:pPr>
      <w:spacing w:after="0" w:line="48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ragraph">
    <w:name w:val="New paragraph"/>
    <w:basedOn w:val="a"/>
    <w:qFormat/>
    <w:rsid w:val="007F53E0"/>
    <w:pPr>
      <w:ind w:firstLine="720"/>
    </w:pPr>
  </w:style>
  <w:style w:type="paragraph" w:styleId="a3">
    <w:name w:val="No Spacing"/>
    <w:uiPriority w:val="1"/>
    <w:qFormat/>
    <w:rsid w:val="007F53E0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paragraph" w:styleId="a4">
    <w:name w:val="header"/>
    <w:basedOn w:val="a"/>
    <w:link w:val="Char"/>
    <w:uiPriority w:val="99"/>
    <w:unhideWhenUsed/>
    <w:rsid w:val="00D675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67528"/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paragraph" w:styleId="a5">
    <w:name w:val="footer"/>
    <w:basedOn w:val="a"/>
    <w:link w:val="Char0"/>
    <w:uiPriority w:val="99"/>
    <w:unhideWhenUsed/>
    <w:rsid w:val="00D675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67528"/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사용자</cp:lastModifiedBy>
  <cp:revision>18</cp:revision>
  <dcterms:created xsi:type="dcterms:W3CDTF">2021-05-14T11:52:00Z</dcterms:created>
  <dcterms:modified xsi:type="dcterms:W3CDTF">2021-12-03T02:19:00Z</dcterms:modified>
</cp:coreProperties>
</file>