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DB" w:rsidRPr="00662471" w:rsidRDefault="006F31DB" w:rsidP="00527C01">
      <w:pPr>
        <w:widowControl w:val="0"/>
        <w:kinsoku w:val="0"/>
        <w:overflowPunct w:val="0"/>
        <w:autoSpaceDE w:val="0"/>
        <w:autoSpaceDN w:val="0"/>
        <w:spacing w:line="480" w:lineRule="auto"/>
        <w:rPr>
          <w:rFonts w:ascii="Times New Roman" w:hAnsi="Times New Roman"/>
          <w:b/>
          <w:sz w:val="24"/>
          <w:szCs w:val="24"/>
        </w:rPr>
      </w:pPr>
      <w:r w:rsidRPr="00662471">
        <w:rPr>
          <w:rFonts w:ascii="Times New Roman" w:hAnsi="Times New Roman"/>
          <w:b/>
          <w:sz w:val="24"/>
          <w:szCs w:val="24"/>
        </w:rPr>
        <w:t>Supplementary Methods</w:t>
      </w:r>
    </w:p>
    <w:p w:rsidR="006F31DB" w:rsidRPr="00662471" w:rsidRDefault="006F31DB" w:rsidP="00527C01">
      <w:pPr>
        <w:widowControl w:val="0"/>
        <w:kinsoku w:val="0"/>
        <w:overflowPunct w:val="0"/>
        <w:autoSpaceDE w:val="0"/>
        <w:autoSpaceDN w:val="0"/>
        <w:spacing w:line="480" w:lineRule="auto"/>
        <w:rPr>
          <w:rFonts w:ascii="Times New Roman" w:hAnsi="Times New Roman"/>
          <w:b/>
          <w:i/>
          <w:sz w:val="24"/>
          <w:szCs w:val="24"/>
        </w:rPr>
      </w:pPr>
      <w:bookmarkStart w:id="0" w:name="_GoBack"/>
      <w:bookmarkEnd w:id="0"/>
    </w:p>
    <w:p w:rsidR="006F31DB" w:rsidRPr="00662471" w:rsidRDefault="006F31DB" w:rsidP="00527C01">
      <w:pPr>
        <w:widowControl w:val="0"/>
        <w:kinsoku w:val="0"/>
        <w:overflowPunct w:val="0"/>
        <w:autoSpaceDE w:val="0"/>
        <w:autoSpaceDN w:val="0"/>
        <w:spacing w:line="480" w:lineRule="auto"/>
        <w:rPr>
          <w:rFonts w:ascii="Times New Roman" w:hAnsi="Times New Roman"/>
          <w:b/>
          <w:i/>
          <w:sz w:val="24"/>
          <w:szCs w:val="24"/>
        </w:rPr>
      </w:pPr>
      <w:r w:rsidRPr="00662471">
        <w:rPr>
          <w:rFonts w:ascii="Times New Roman" w:hAnsi="Times New Roman"/>
          <w:b/>
          <w:i/>
          <w:sz w:val="24"/>
          <w:szCs w:val="24"/>
        </w:rPr>
        <w:t>Clinical variables</w:t>
      </w:r>
    </w:p>
    <w:p w:rsidR="006F31DB" w:rsidRPr="00662471" w:rsidRDefault="006F31DB" w:rsidP="00527C01">
      <w:pPr>
        <w:widowControl w:val="0"/>
        <w:kinsoku w:val="0"/>
        <w:overflowPunct w:val="0"/>
        <w:autoSpaceDE w:val="0"/>
        <w:autoSpaceDN w:val="0"/>
        <w:spacing w:line="480" w:lineRule="auto"/>
        <w:rPr>
          <w:rFonts w:ascii="Times New Roman" w:hAnsi="Times New Roman"/>
          <w:sz w:val="24"/>
          <w:szCs w:val="24"/>
        </w:rPr>
      </w:pPr>
      <w:r w:rsidRPr="00662471">
        <w:rPr>
          <w:rFonts w:ascii="Times New Roman" w:eastAsia="AdvTT5843c571" w:hAnsi="Times New Roman"/>
          <w:color w:val="000000"/>
          <w:kern w:val="0"/>
          <w:sz w:val="24"/>
          <w:szCs w:val="24"/>
        </w:rPr>
        <w:t>A detailed definition of risk factors for hypertension was described in a previous study</w:t>
      </w:r>
      <w:r>
        <w:rPr>
          <w:rFonts w:ascii="Times New Roman" w:eastAsia="AdvTT5843c571" w:hAnsi="Times New Roman" w:hint="eastAsia"/>
          <w:color w:val="000000"/>
          <w:kern w:val="0"/>
          <w:sz w:val="24"/>
          <w:szCs w:val="24"/>
        </w:rPr>
        <w:t xml:space="preserve"> </w:t>
      </w:r>
      <w:r>
        <w:rPr>
          <w:rFonts w:ascii="Times New Roman" w:eastAsia="AdvTT5843c571" w:hAnsi="Times New Roman"/>
          <w:noProof/>
          <w:color w:val="000000"/>
          <w:kern w:val="0"/>
          <w:sz w:val="24"/>
          <w:szCs w:val="24"/>
        </w:rPr>
        <w:t>(Song et al. 2017)</w:t>
      </w:r>
      <w:r w:rsidRPr="00662471">
        <w:rPr>
          <w:rFonts w:ascii="Times New Roman" w:eastAsia="AdvTT5843c571" w:hAnsi="Times New Roman"/>
          <w:color w:val="000000"/>
          <w:kern w:val="0"/>
          <w:sz w:val="24"/>
          <w:szCs w:val="24"/>
        </w:rPr>
        <w:t>. In brief, h</w:t>
      </w:r>
      <w:r w:rsidRPr="00662471">
        <w:rPr>
          <w:rFonts w:ascii="Times New Roman" w:hAnsi="Times New Roman"/>
          <w:sz w:val="24"/>
          <w:szCs w:val="24"/>
        </w:rPr>
        <w:t xml:space="preserve">ypertension was defined as being present when a patient had been taking blood pressure-lowering agents, or had a resting systolic blood pressure ≥140 mmHg or diastolic blood pressure ≥90 mmHg on repeated measurements. Diabetes mellitus was diagnosed when the patient had a fasting blood glucose level ≥7.0 </w:t>
      </w:r>
      <w:proofErr w:type="spellStart"/>
      <w:r w:rsidRPr="00662471">
        <w:rPr>
          <w:rFonts w:ascii="Times New Roman" w:hAnsi="Times New Roman"/>
          <w:sz w:val="24"/>
          <w:szCs w:val="24"/>
        </w:rPr>
        <w:t>mmol</w:t>
      </w:r>
      <w:proofErr w:type="spellEnd"/>
      <w:r w:rsidRPr="00662471">
        <w:rPr>
          <w:rFonts w:ascii="Times New Roman" w:hAnsi="Times New Roman"/>
          <w:sz w:val="24"/>
          <w:szCs w:val="24"/>
        </w:rPr>
        <w:t xml:space="preserve">/L, or was being treated with oral glucose-lowering medications or insulin. </w:t>
      </w:r>
      <w:proofErr w:type="spellStart"/>
      <w:r w:rsidRPr="00662471">
        <w:rPr>
          <w:rFonts w:ascii="Times New Roman" w:hAnsi="Times New Roman"/>
          <w:sz w:val="24"/>
          <w:szCs w:val="24"/>
        </w:rPr>
        <w:t>Hyper</w:t>
      </w:r>
      <w:r>
        <w:rPr>
          <w:rFonts w:ascii="Times New Roman" w:hAnsi="Times New Roman" w:hint="eastAsia"/>
          <w:sz w:val="24"/>
          <w:szCs w:val="24"/>
        </w:rPr>
        <w:t>cholesterolaemia</w:t>
      </w:r>
      <w:proofErr w:type="spellEnd"/>
      <w:r w:rsidRPr="00662471">
        <w:rPr>
          <w:rFonts w:ascii="Times New Roman" w:hAnsi="Times New Roman"/>
          <w:sz w:val="24"/>
          <w:szCs w:val="24"/>
        </w:rPr>
        <w:t xml:space="preserve"> was diagnosed if the patient had total cholesterol ≥6.2 </w:t>
      </w:r>
      <w:proofErr w:type="spellStart"/>
      <w:r w:rsidRPr="00662471">
        <w:rPr>
          <w:rFonts w:ascii="Times New Roman" w:hAnsi="Times New Roman"/>
          <w:sz w:val="24"/>
          <w:szCs w:val="24"/>
        </w:rPr>
        <w:t>mmol</w:t>
      </w:r>
      <w:proofErr w:type="spellEnd"/>
      <w:r w:rsidRPr="00662471">
        <w:rPr>
          <w:rFonts w:ascii="Times New Roman" w:hAnsi="Times New Roman"/>
          <w:sz w:val="24"/>
          <w:szCs w:val="24"/>
        </w:rPr>
        <w:t xml:space="preserve">/L, low-density lipoprotein cholesterol ≥4.1 </w:t>
      </w:r>
      <w:proofErr w:type="spellStart"/>
      <w:r w:rsidRPr="00662471">
        <w:rPr>
          <w:rFonts w:ascii="Times New Roman" w:hAnsi="Times New Roman"/>
          <w:sz w:val="24"/>
          <w:szCs w:val="24"/>
        </w:rPr>
        <w:t>mmol</w:t>
      </w:r>
      <w:proofErr w:type="spellEnd"/>
      <w:r w:rsidRPr="00662471">
        <w:rPr>
          <w:rFonts w:ascii="Times New Roman" w:hAnsi="Times New Roman"/>
          <w:sz w:val="24"/>
          <w:szCs w:val="24"/>
        </w:rPr>
        <w:t xml:space="preserve">/L, or if the patient had taken lipid-lowering medications after a diagnosis of hyperlipidemia. Coronary artery disease was defined as a history of myocardial infarction, unstable angina, or </w:t>
      </w:r>
      <w:proofErr w:type="spellStart"/>
      <w:r w:rsidRPr="00662471">
        <w:rPr>
          <w:rFonts w:ascii="Times New Roman" w:hAnsi="Times New Roman"/>
          <w:sz w:val="24"/>
          <w:szCs w:val="24"/>
        </w:rPr>
        <w:t>angiographically</w:t>
      </w:r>
      <w:proofErr w:type="spellEnd"/>
      <w:r w:rsidRPr="00662471">
        <w:rPr>
          <w:rFonts w:ascii="Times New Roman" w:hAnsi="Times New Roman"/>
          <w:sz w:val="24"/>
          <w:szCs w:val="24"/>
        </w:rPr>
        <w:t xml:space="preserve"> confirmed coronary artery occlusive disease.</w:t>
      </w:r>
      <w:r>
        <w:rPr>
          <w:rFonts w:ascii="Times New Roman" w:hAnsi="Times New Roman" w:hint="eastAsia"/>
          <w:sz w:val="24"/>
          <w:szCs w:val="24"/>
        </w:rPr>
        <w:t xml:space="preserve"> </w:t>
      </w:r>
      <w:r w:rsidRPr="00662471">
        <w:rPr>
          <w:rFonts w:ascii="Times New Roman" w:hAnsi="Times New Roman"/>
          <w:sz w:val="24"/>
          <w:szCs w:val="24"/>
        </w:rPr>
        <w:t>Patients were defined as smokers if they were current smokers or had stopped smoking within 1 year before the index stroke. Subjects whose recent mean weekly alcohol intake had regularly exceeded 300 g of ethanol were classified as heavy drinkers</w:t>
      </w:r>
      <w:r>
        <w:rPr>
          <w:rFonts w:ascii="Times New Roman" w:hAnsi="Times New Roman" w:hint="eastAsia"/>
          <w:sz w:val="24"/>
          <w:szCs w:val="24"/>
        </w:rPr>
        <w:t xml:space="preserve"> </w:t>
      </w:r>
      <w:r>
        <w:rPr>
          <w:rFonts w:ascii="Times New Roman" w:hAnsi="Times New Roman"/>
          <w:noProof/>
          <w:sz w:val="24"/>
          <w:szCs w:val="24"/>
        </w:rPr>
        <w:t>(Song et al. 2016)</w:t>
      </w:r>
      <w:r w:rsidRPr="00662471">
        <w:rPr>
          <w:rFonts w:ascii="Times New Roman" w:hAnsi="Times New Roman"/>
          <w:sz w:val="24"/>
          <w:szCs w:val="24"/>
        </w:rPr>
        <w:t>.</w:t>
      </w:r>
      <w:r w:rsidRPr="00662471">
        <w:rPr>
          <w:rFonts w:ascii="Times New Roman" w:hAnsi="Times New Roman"/>
          <w:noProof/>
          <w:sz w:val="24"/>
          <w:szCs w:val="24"/>
          <w:vertAlign w:val="superscript"/>
        </w:rPr>
        <w:t xml:space="preserve"> </w:t>
      </w:r>
    </w:p>
    <w:p w:rsidR="006F31DB" w:rsidRPr="00662471" w:rsidRDefault="006F31DB" w:rsidP="00B03B03">
      <w:pPr>
        <w:widowControl w:val="0"/>
        <w:wordWrap w:val="0"/>
        <w:autoSpaceDE w:val="0"/>
        <w:autoSpaceDN w:val="0"/>
        <w:spacing w:after="200" w:line="480" w:lineRule="auto"/>
        <w:rPr>
          <w:rFonts w:ascii="Times New Roman" w:hAnsi="Times New Roman"/>
          <w:sz w:val="24"/>
          <w:szCs w:val="24"/>
        </w:rPr>
      </w:pPr>
    </w:p>
    <w:p w:rsidR="006F31DB" w:rsidRPr="00662471" w:rsidRDefault="006F31DB" w:rsidP="00B03B03">
      <w:pPr>
        <w:widowControl w:val="0"/>
        <w:wordWrap w:val="0"/>
        <w:autoSpaceDE w:val="0"/>
        <w:autoSpaceDN w:val="0"/>
        <w:spacing w:after="200" w:line="480" w:lineRule="auto"/>
        <w:rPr>
          <w:rFonts w:ascii="Times New Roman" w:hAnsi="Times New Roman"/>
          <w:b/>
          <w:sz w:val="24"/>
          <w:szCs w:val="24"/>
        </w:rPr>
      </w:pPr>
      <w:r w:rsidRPr="00662471">
        <w:rPr>
          <w:rFonts w:ascii="Times New Roman" w:hAnsi="Times New Roman"/>
          <w:b/>
          <w:sz w:val="24"/>
          <w:szCs w:val="24"/>
        </w:rPr>
        <w:t>References</w:t>
      </w:r>
    </w:p>
    <w:p w:rsidR="006F31DB" w:rsidRPr="00B03B03" w:rsidRDefault="006F31DB" w:rsidP="00B03B03">
      <w:pPr>
        <w:pStyle w:val="EndNoteBibliography"/>
        <w:spacing w:line="480" w:lineRule="auto"/>
        <w:ind w:left="720" w:hanging="720"/>
      </w:pPr>
      <w:r w:rsidRPr="00B03B03">
        <w:t>Song TJ, Kim YD, Yoo J, Kim J, Chang HJ, Hong GR, Shim CY, Song D, Heo JH, and Nam HS. 2016. Association between Aortic Atheroma and Cerebral Small Vessel Disease in Patients with Ischemic Stroke.</w:t>
      </w:r>
      <w:r w:rsidRPr="00B03B03">
        <w:rPr>
          <w:i/>
        </w:rPr>
        <w:t xml:space="preserve"> J Stroke</w:t>
      </w:r>
      <w:r w:rsidRPr="00B03B03">
        <w:t xml:space="preserve"> 18:312-320. 10.5853/jos.2016.00171</w:t>
      </w:r>
    </w:p>
    <w:p w:rsidR="008D4499" w:rsidRDefault="006F31DB" w:rsidP="004C2D71">
      <w:pPr>
        <w:pStyle w:val="EndNoteBibliography"/>
        <w:spacing w:line="480" w:lineRule="auto"/>
        <w:ind w:left="720" w:hanging="720"/>
      </w:pPr>
      <w:r w:rsidRPr="00B03B03">
        <w:t>Song TJ, Park JH, Choi KH, Kim JH, Choi Y, Chang Y, Kim HJ, Moon J, Kim YJ, and Lee HW. 2017. Is obstructive sleep apnea associated with the presence of intracranial cerebral atherosclerosis?</w:t>
      </w:r>
      <w:r w:rsidRPr="00B03B03">
        <w:rPr>
          <w:i/>
        </w:rPr>
        <w:t xml:space="preserve"> Sleep Breath</w:t>
      </w:r>
      <w:r w:rsidRPr="00B03B03">
        <w:t xml:space="preserve"> 21:639-646. 10.1007/s11325-016-1450-9</w:t>
      </w:r>
    </w:p>
    <w:sectPr w:rsidR="008D4499" w:rsidSect="00FF4F3E">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69" w:rsidRDefault="007E6569">
      <w:r>
        <w:separator/>
      </w:r>
    </w:p>
  </w:endnote>
  <w:endnote w:type="continuationSeparator" w:id="0">
    <w:p w:rsidR="007E6569" w:rsidRDefault="007E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dvTT5843c571">
    <w:altName w:val="맑은 고딕"/>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E" w:rsidRDefault="006F31DB">
    <w:pPr>
      <w:pStyle w:val="a3"/>
      <w:jc w:val="center"/>
    </w:pPr>
    <w:r>
      <w:fldChar w:fldCharType="begin"/>
    </w:r>
    <w:r>
      <w:instrText xml:space="preserve"> PAGE   \* MERGEFORMAT </w:instrText>
    </w:r>
    <w:r>
      <w:fldChar w:fldCharType="separate"/>
    </w:r>
    <w:r w:rsidR="004C2D71" w:rsidRPr="004C2D71">
      <w:rPr>
        <w:noProof/>
        <w:lang w:val="ko-KR"/>
      </w:rPr>
      <w:t>1</w:t>
    </w:r>
    <w:r>
      <w:rPr>
        <w:noProof/>
        <w:lang w:val="ko-KR"/>
      </w:rPr>
      <w:fldChar w:fldCharType="end"/>
    </w:r>
  </w:p>
  <w:p w:rsidR="00FE357E" w:rsidRPr="00FC5E5D" w:rsidRDefault="007E6569" w:rsidP="006C27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69" w:rsidRDefault="007E6569">
      <w:r>
        <w:separator/>
      </w:r>
    </w:p>
  </w:footnote>
  <w:footnote w:type="continuationSeparator" w:id="0">
    <w:p w:rsidR="007E6569" w:rsidRDefault="007E6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31DB"/>
    <w:rsid w:val="004C2D71"/>
    <w:rsid w:val="006F31DB"/>
    <w:rsid w:val="007E6569"/>
    <w:rsid w:val="008D44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24328-E65F-4C57-9B7D-992B4A9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1DB"/>
    <w:pPr>
      <w:spacing w:after="0" w:line="240" w:lineRule="auto"/>
      <w:jc w:val="left"/>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31DB"/>
    <w:pPr>
      <w:tabs>
        <w:tab w:val="center" w:pos="4513"/>
        <w:tab w:val="right" w:pos="9026"/>
      </w:tabs>
      <w:snapToGrid w:val="0"/>
    </w:pPr>
  </w:style>
  <w:style w:type="character" w:customStyle="1" w:styleId="Char">
    <w:name w:val="바닥글 Char"/>
    <w:link w:val="a3"/>
    <w:uiPriority w:val="99"/>
    <w:rsid w:val="006F31DB"/>
    <w:rPr>
      <w:rFonts w:ascii="맑은 고딕" w:eastAsia="맑은 고딕" w:hAnsi="맑은 고딕" w:cs="Times New Roman"/>
    </w:rPr>
  </w:style>
  <w:style w:type="paragraph" w:styleId="a4">
    <w:name w:val="header"/>
    <w:basedOn w:val="a"/>
    <w:link w:val="Char0"/>
    <w:uiPriority w:val="99"/>
    <w:unhideWhenUsed/>
    <w:rsid w:val="006F31DB"/>
    <w:pPr>
      <w:tabs>
        <w:tab w:val="center" w:pos="4513"/>
        <w:tab w:val="right" w:pos="9026"/>
      </w:tabs>
      <w:snapToGrid w:val="0"/>
    </w:pPr>
  </w:style>
  <w:style w:type="character" w:customStyle="1" w:styleId="Char0">
    <w:name w:val="머리글 Char"/>
    <w:link w:val="a4"/>
    <w:uiPriority w:val="99"/>
    <w:rsid w:val="006F31DB"/>
    <w:rPr>
      <w:rFonts w:ascii="맑은 고딕" w:eastAsia="맑은 고딕" w:hAnsi="맑은 고딕" w:cs="Times New Roman"/>
    </w:rPr>
  </w:style>
  <w:style w:type="paragraph" w:styleId="a5">
    <w:name w:val="Balloon Text"/>
    <w:basedOn w:val="a"/>
    <w:link w:val="Char1"/>
    <w:uiPriority w:val="99"/>
    <w:semiHidden/>
    <w:unhideWhenUsed/>
    <w:rsid w:val="006F31DB"/>
    <w:rPr>
      <w:sz w:val="18"/>
      <w:szCs w:val="18"/>
    </w:rPr>
  </w:style>
  <w:style w:type="character" w:customStyle="1" w:styleId="Char1">
    <w:name w:val="풍선 도움말 텍스트 Char"/>
    <w:link w:val="a5"/>
    <w:uiPriority w:val="99"/>
    <w:semiHidden/>
    <w:rsid w:val="006F31DB"/>
    <w:rPr>
      <w:rFonts w:ascii="맑은 고딕" w:eastAsia="맑은 고딕" w:hAnsi="맑은 고딕" w:cs="Times New Roman"/>
      <w:sz w:val="18"/>
      <w:szCs w:val="18"/>
    </w:rPr>
  </w:style>
  <w:style w:type="table" w:styleId="a6">
    <w:name w:val="Table Grid"/>
    <w:basedOn w:val="a1"/>
    <w:uiPriority w:val="59"/>
    <w:rsid w:val="006F31DB"/>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F31DB"/>
    <w:pPr>
      <w:spacing w:after="0" w:line="240" w:lineRule="auto"/>
      <w:jc w:val="left"/>
    </w:pPr>
    <w:rPr>
      <w:rFonts w:ascii="맑은 고딕" w:eastAsia="맑은 고딕" w:hAnsi="맑은 고딕" w:cs="Times New Roman"/>
      <w:kern w:val="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a"/>
    <w:link w:val="EndNoteBibliographyTitleChar"/>
    <w:rsid w:val="006F31DB"/>
    <w:pPr>
      <w:jc w:val="center"/>
    </w:pPr>
    <w:rPr>
      <w:rFonts w:ascii="Times New Roman" w:hAnsi="Times New Roman"/>
      <w:noProof/>
      <w:sz w:val="24"/>
    </w:rPr>
  </w:style>
  <w:style w:type="character" w:customStyle="1" w:styleId="EndNoteBibliographyTitleChar">
    <w:name w:val="EndNote Bibliography Title Char"/>
    <w:link w:val="EndNoteBibliographyTitle"/>
    <w:rsid w:val="006F31DB"/>
    <w:rPr>
      <w:rFonts w:ascii="Times New Roman" w:eastAsia="맑은 고딕" w:hAnsi="Times New Roman" w:cs="Times New Roman"/>
      <w:noProof/>
      <w:sz w:val="24"/>
    </w:rPr>
  </w:style>
  <w:style w:type="paragraph" w:customStyle="1" w:styleId="EndNoteBibliography">
    <w:name w:val="EndNote Bibliography"/>
    <w:basedOn w:val="a"/>
    <w:link w:val="EndNoteBibliographyChar"/>
    <w:rsid w:val="006F31DB"/>
    <w:rPr>
      <w:rFonts w:ascii="Times New Roman" w:hAnsi="Times New Roman"/>
      <w:noProof/>
      <w:sz w:val="24"/>
    </w:rPr>
  </w:style>
  <w:style w:type="character" w:customStyle="1" w:styleId="EndNoteBibliographyChar">
    <w:name w:val="EndNote Bibliography Char"/>
    <w:link w:val="EndNoteBibliography"/>
    <w:rsid w:val="006F31DB"/>
    <w:rPr>
      <w:rFonts w:ascii="Times New Roman" w:eastAsia="맑은 고딕"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2021-11-24T00:25:00Z</dcterms:created>
  <dcterms:modified xsi:type="dcterms:W3CDTF">2021-11-25T19:27:00Z</dcterms:modified>
</cp:coreProperties>
</file>