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B0" w:rsidRDefault="00907138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Table 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Changes of 28 </w:t>
      </w:r>
      <w:r>
        <w:rPr>
          <w:rFonts w:ascii="Times New Roman" w:eastAsia="宋体" w:hAnsi="Times New Roman" w:cs="Times New Roman"/>
          <w:sz w:val="24"/>
          <w:szCs w:val="24"/>
        </w:rPr>
        <w:t>alfalfa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cultivars </w:t>
      </w:r>
      <w:r>
        <w:rPr>
          <w:rFonts w:ascii="Times New Roman" w:eastAsia="宋体" w:hAnsi="Times New Roman" w:cs="Times New Roman"/>
          <w:sz w:val="24"/>
          <w:szCs w:val="24"/>
        </w:rPr>
        <w:t>under medium nitrogen level (</w:t>
      </w:r>
      <w:r>
        <w:rPr>
          <w:rFonts w:ascii="Times New Roman" w:eastAsia="宋体" w:hAnsi="Times New Roman" w:cs="Times New Roman" w:hint="eastAsia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in seedling stage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3"/>
        <w:gridCol w:w="1086"/>
        <w:gridCol w:w="1121"/>
        <w:gridCol w:w="1161"/>
        <w:gridCol w:w="1121"/>
        <w:gridCol w:w="1316"/>
        <w:gridCol w:w="1286"/>
        <w:gridCol w:w="1126"/>
        <w:gridCol w:w="1046"/>
        <w:gridCol w:w="1086"/>
        <w:gridCol w:w="1086"/>
        <w:gridCol w:w="1166"/>
        <w:gridCol w:w="1086"/>
      </w:tblGrid>
      <w:tr w:rsidR="00B619B0" w:rsidTr="00B41799">
        <w:trPr>
          <w:trHeight w:hRule="exact" w:val="601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B0" w:rsidRDefault="00907138" w:rsidP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0" w:name="OLE_LINK1"/>
            <w:r>
              <w:rPr>
                <w:rFonts w:ascii="Times New Roman" w:hAnsi="Times New Roman"/>
                <w:b/>
                <w:w w:val="98"/>
                <w:sz w:val="15"/>
                <w:szCs w:val="15"/>
                <w:lang w:bidi="mn-Mong-CN"/>
              </w:rPr>
              <w:t>N</w:t>
            </w:r>
            <w:bookmarkEnd w:id="0"/>
            <w:r w:rsidR="00B41799">
              <w:rPr>
                <w:rFonts w:ascii="Times New Roman" w:hAnsi="Times New Roman" w:hint="eastAsia"/>
                <w:b/>
                <w:w w:val="98"/>
                <w:sz w:val="15"/>
                <w:szCs w:val="15"/>
                <w:lang w:bidi="mn-Mong-CN"/>
              </w:rPr>
              <w:t>O.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Cultivars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SDW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RDW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PDW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SH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(cm)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RL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cm•plant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RV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(cm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SNC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RNC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PNC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SNA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mg•plant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RNA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mg•plant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PNA</w:t>
            </w:r>
          </w:p>
          <w:p w:rsidR="00B619B0" w:rsidRDefault="009071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mg•plant</w:t>
            </w:r>
            <w:proofErr w:type="spellEnd"/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)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0.21d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90.13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18.66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mm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5.44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393" w:type="dxa"/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0.02i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15.90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71.79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9.69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6.49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jklm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393" w:type="dxa"/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75.13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5.71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7.54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393" w:type="dxa"/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1.34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bcdefgh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4.36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4.96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393" w:type="dxa"/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p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14.80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mn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393" w:type="dxa"/>
            <w:vAlign w:val="center"/>
          </w:tcPr>
          <w:p w:rsidR="00B619B0" w:rsidRDefault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Gannong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1.43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mn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98.97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8.79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Longdong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1.88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13.38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0.96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o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2.64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3.66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lmno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Xinjiangdaye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15.65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79.93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7.31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Xinmu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61.64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0.75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Longmu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806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54.67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7.56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klmn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Longmu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801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1.84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fgh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1.96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64.07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hijk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1393" w:type="dxa"/>
            <w:vAlign w:val="center"/>
          </w:tcPr>
          <w:p w:rsidR="00B619B0" w:rsidRDefault="00B41799" w:rsidP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Gongnong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12.58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81.77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22.32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3.69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4.77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1393" w:type="dxa"/>
            <w:vAlign w:val="center"/>
          </w:tcPr>
          <w:p w:rsidR="00B619B0" w:rsidRDefault="00B41799" w:rsidP="00B4179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Gongnong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NO.</w:t>
            </w:r>
            <w:r w:rsidR="00907138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p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66.61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Zhaodong</w:t>
            </w:r>
            <w:bookmarkStart w:id="1" w:name="_GoBack"/>
            <w:bookmarkEnd w:id="1"/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7.73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6.90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0.80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7.70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LW6010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2.84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70.37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6.99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3.65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9.77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11.46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Reindeer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kl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61.87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11.34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mno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Crown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15.90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95.01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0.82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8.80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Goldqueen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14.92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5.99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ijkl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6.48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Giant 551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1.91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14.70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54.71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5.55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Giant 601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78.64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16.63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3.69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8.93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Giant 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1.83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15.67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62.05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hij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4.75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5.32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Giant 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2.61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69.97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3.56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3.39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7.62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1.24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8.86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Sadie 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q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12.3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14.86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2.45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2.72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1.39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0.73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Sadie 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1.95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62.53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7.97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0.50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6.67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Tourists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0.64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0.81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q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15.98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50.14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13.40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abcdef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2.19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no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2.65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2.28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mm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1.40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jklmn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1.85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n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Elite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1.59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1.71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0.03l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75.58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def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4.99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mno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5.39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Weston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1.35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0.33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1.68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0.1l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71.56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17.20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bcdef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2.38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lm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2.54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4.28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l</w:t>
            </w:r>
          </w:p>
        </w:tc>
      </w:tr>
      <w:tr w:rsidR="00B619B0" w:rsidTr="00B41799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B619B0" w:rsidRDefault="00907138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1393" w:type="dxa"/>
            <w:vAlign w:val="center"/>
          </w:tcPr>
          <w:p w:rsidR="00B619B0" w:rsidRDefault="0090713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Algonquin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1.78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0.01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1.93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ijk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77.90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16.46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abcde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cdefgh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2.94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3.15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2.95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0.16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ghi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5.22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0.25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0.47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0.03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jklm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619B0" w:rsidRDefault="0090713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5.69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0.28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vertAlign w:val="superscript"/>
              </w:rPr>
              <w:t>i</w:t>
            </w:r>
          </w:p>
        </w:tc>
      </w:tr>
    </w:tbl>
    <w:p w:rsidR="00B619B0" w:rsidRDefault="00907138">
      <w:r>
        <w:rPr>
          <w:rFonts w:ascii="Times New Roman" w:eastAsia="宋体" w:hAnsi="Times New Roman" w:cs="Times New Roman"/>
          <w:sz w:val="24"/>
          <w:szCs w:val="24"/>
          <w:lang w:bidi="mn-Mong-CN"/>
        </w:rPr>
        <w:t xml:space="preserve">Note: SDW, RDW, PDW, SH, RL, RV, SNC, RNC, PNC, SNA, RNA and PNA respective shoot dry weight, root dry weight, plant dry weight, plant height, total root length, total root volume, shoot nitrogen content, </w:t>
      </w:r>
      <w:r>
        <w:rPr>
          <w:rFonts w:ascii="Times New Roman" w:eastAsia="宋体" w:hAnsi="Times New Roman" w:cs="Times New Roman"/>
          <w:sz w:val="24"/>
          <w:szCs w:val="24"/>
          <w:lang w:bidi="mn-Mong-CN"/>
        </w:rPr>
        <w:t>root nitrogen content, plant nitrogen content, shoot nitrogen accumulation, root nitrogen accumulation and plant nitrogen accumulati</w:t>
      </w:r>
      <w:r>
        <w:rPr>
          <w:rFonts w:ascii="Times New Roman" w:eastAsia="宋体" w:hAnsi="Times New Roman" w:cs="Times New Roman" w:hint="eastAsia"/>
          <w:sz w:val="24"/>
          <w:szCs w:val="24"/>
          <w:lang w:bidi="mn-Mong-CN"/>
        </w:rPr>
        <w:t>on.</w:t>
      </w:r>
    </w:p>
    <w:sectPr w:rsidR="00B619B0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38" w:rsidRDefault="00907138" w:rsidP="00B41799">
      <w:r>
        <w:separator/>
      </w:r>
    </w:p>
  </w:endnote>
  <w:endnote w:type="continuationSeparator" w:id="0">
    <w:p w:rsidR="00907138" w:rsidRDefault="00907138" w:rsidP="00B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38" w:rsidRDefault="00907138" w:rsidP="00B41799">
      <w:r>
        <w:separator/>
      </w:r>
    </w:p>
  </w:footnote>
  <w:footnote w:type="continuationSeparator" w:id="0">
    <w:p w:rsidR="00907138" w:rsidRDefault="00907138" w:rsidP="00B4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1"/>
    <w:rsid w:val="0000599A"/>
    <w:rsid w:val="000402B3"/>
    <w:rsid w:val="0005189D"/>
    <w:rsid w:val="00075F34"/>
    <w:rsid w:val="000C0624"/>
    <w:rsid w:val="000F6801"/>
    <w:rsid w:val="00133F4F"/>
    <w:rsid w:val="001B7CC2"/>
    <w:rsid w:val="002240C2"/>
    <w:rsid w:val="002B40AF"/>
    <w:rsid w:val="00335ADD"/>
    <w:rsid w:val="003A779D"/>
    <w:rsid w:val="003B5908"/>
    <w:rsid w:val="004773BE"/>
    <w:rsid w:val="005F686A"/>
    <w:rsid w:val="00647330"/>
    <w:rsid w:val="007E1259"/>
    <w:rsid w:val="008763F3"/>
    <w:rsid w:val="008C3AB6"/>
    <w:rsid w:val="00907138"/>
    <w:rsid w:val="0095438C"/>
    <w:rsid w:val="00957A6E"/>
    <w:rsid w:val="009E07E9"/>
    <w:rsid w:val="00B41799"/>
    <w:rsid w:val="00B619B0"/>
    <w:rsid w:val="00B72387"/>
    <w:rsid w:val="00C4298E"/>
    <w:rsid w:val="00D02B9D"/>
    <w:rsid w:val="00D03852"/>
    <w:rsid w:val="00D22EDD"/>
    <w:rsid w:val="00DA3F69"/>
    <w:rsid w:val="00DE3992"/>
    <w:rsid w:val="00E27ABD"/>
    <w:rsid w:val="00EF36E4"/>
    <w:rsid w:val="00FA263E"/>
    <w:rsid w:val="00FD2391"/>
    <w:rsid w:val="00FF0785"/>
    <w:rsid w:val="0E964DFE"/>
    <w:rsid w:val="0F697BDC"/>
    <w:rsid w:val="10771BF5"/>
    <w:rsid w:val="129431DF"/>
    <w:rsid w:val="13633DB2"/>
    <w:rsid w:val="3A6A08EB"/>
    <w:rsid w:val="40712415"/>
    <w:rsid w:val="518326D5"/>
    <w:rsid w:val="5D095754"/>
    <w:rsid w:val="5D801668"/>
    <w:rsid w:val="670D5B2C"/>
    <w:rsid w:val="6D7853C9"/>
    <w:rsid w:val="75D7023D"/>
    <w:rsid w:val="7F4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15"/>
      <w:szCs w:val="15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5"/>
      <w:szCs w:val="15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15"/>
      <w:szCs w:val="15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5"/>
      <w:szCs w:val="15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14</cp:revision>
  <cp:lastPrinted>2021-06-11T02:30:00Z</cp:lastPrinted>
  <dcterms:created xsi:type="dcterms:W3CDTF">2019-11-03T02:16:00Z</dcterms:created>
  <dcterms:modified xsi:type="dcterms:W3CDTF">2021-11-02T14:05:00Z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C8DB9C71EB2240B28C06E9EE86FA57EE</vt:lpwstr>
  </property>
</Properties>
</file>