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0" w:line="360" w:lineRule="auto"/>
        <w:jc w:val="center"/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 Bold" w:hAnsi="Times New Roman Bold" w:cs="Times New Roman Bold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Supplementary material Codebook of </w:t>
      </w:r>
      <w:r>
        <w:rPr>
          <w:rFonts w:hint="default" w:ascii="Times New Roman Bold" w:hAnsi="Times New Roman Bold" w:cs="Times New Roman Bold" w:eastAsiaTheme="minorEastAsia"/>
          <w:b/>
          <w:bCs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categorical</w:t>
      </w:r>
      <w:r>
        <w:rPr>
          <w:rFonts w:hint="default" w:ascii="Times New Roman Bold" w:hAnsi="Times New Roman Bold" w:cs="Times New Roman Bold" w:eastAsiaTheme="minorEastAsia"/>
          <w:b/>
          <w:bCs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 xml:space="preserve"> data for all</w:t>
      </w:r>
      <w:r>
        <w:rPr>
          <w:rFonts w:hint="default" w:ascii="Times New Roman Bold" w:hAnsi="Times New Roman Bold" w:cs="Times New Roman Bold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variables in the raw data </w:t>
      </w:r>
    </w:p>
    <w:tbl>
      <w:tblPr>
        <w:tblStyle w:val="4"/>
        <w:tblW w:w="852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261"/>
      </w:tblGrid>
      <w:tr>
        <w:tc>
          <w:tcPr>
            <w:tcW w:w="426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ariable</w:t>
            </w:r>
          </w:p>
        </w:tc>
        <w:tc>
          <w:tcPr>
            <w:tcW w:w="426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jc w:val="center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Assignment method</w:t>
            </w:r>
          </w:p>
        </w:tc>
      </w:tr>
      <w:tr>
        <w:tc>
          <w:tcPr>
            <w:tcW w:w="4261" w:type="dxa"/>
            <w:tcBorders>
              <w:top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Independent variable</w:t>
            </w:r>
          </w:p>
        </w:tc>
        <w:tc>
          <w:tcPr>
            <w:tcW w:w="4261" w:type="dxa"/>
            <w:tcBorders>
              <w:top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ind w:firstLine="420"/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Combined with hypertension</w:t>
            </w:r>
          </w:p>
        </w:tc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Yes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=1 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No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=0</w:t>
            </w:r>
          </w:p>
        </w:tc>
      </w:tr>
      <w:tr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ind w:firstLine="420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Combined with diabetes</w:t>
            </w:r>
          </w:p>
        </w:tc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jc w:val="center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Yes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=1 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No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=0</w:t>
            </w:r>
          </w:p>
        </w:tc>
      </w:tr>
      <w:tr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ind w:firstLine="420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Combined with urinary calculi</w:t>
            </w:r>
          </w:p>
        </w:tc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jc w:val="center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Yes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=1 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No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=0</w:t>
            </w:r>
          </w:p>
        </w:tc>
      </w:tr>
      <w:tr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ind w:firstLine="420"/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/>
              </w:rPr>
              <w:t>Neurogenic bladder type</w:t>
            </w:r>
          </w:p>
        </w:tc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Detrusor </w:t>
            </w:r>
            <w:r>
              <w:rPr>
                <w:rFonts w:hint="default" w:ascii="Times New Roman Regular" w:hAnsi="Times New Roman Regular" w:cs="Times New Roman Regular"/>
              </w:rPr>
              <w:t>overactivity</w:t>
            </w:r>
            <w:r>
              <w:rPr>
                <w:rFonts w:hint="default" w:ascii="Times New Roman Regular" w:hAnsi="Times New Roman Regular" w:cs="Times New Roman Regular"/>
              </w:rPr>
              <w:t xml:space="preserve">=1, Detrusor </w:t>
            </w:r>
            <w:r>
              <w:rPr>
                <w:rFonts w:hint="default" w:ascii="Times New Roman Regular" w:hAnsi="Times New Roman Regular" w:cs="Times New Roman Regular"/>
              </w:rPr>
              <w:t>inactiviety</w:t>
            </w:r>
            <w:r>
              <w:rPr>
                <w:rFonts w:hint="default" w:ascii="Times New Roman Regular" w:hAnsi="Times New Roman Regular" w:cs="Times New Roman Regular"/>
              </w:rPr>
              <w:t xml:space="preserve"> type=2, </w:t>
            </w:r>
            <w:r>
              <w:rPr>
                <w:rFonts w:hint="default" w:ascii="Times New Roman Regular" w:hAnsi="Times New Roman Regular" w:cs="Times New Roman Regular"/>
              </w:rPr>
              <w:t>Mixed type</w:t>
            </w:r>
            <w:r>
              <w:rPr>
                <w:rFonts w:hint="default" w:ascii="Times New Roman Regular" w:hAnsi="Times New Roman Regular" w:cs="Times New Roman Regular"/>
              </w:rPr>
              <w:t>=3</w:t>
            </w:r>
          </w:p>
        </w:tc>
      </w:tr>
      <w:tr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ind w:firstLine="420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Catheterization method</w:t>
            </w:r>
          </w:p>
        </w:tc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jc w:val="center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Indwelling catheterization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=1 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intermittent catheterization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/voiding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=0</w:t>
            </w:r>
          </w:p>
        </w:tc>
      </w:tr>
      <w:tr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ind w:firstLine="420"/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P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reventive use of antibacterial drug</w:t>
            </w:r>
          </w:p>
        </w:tc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jc w:val="center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Yes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=1 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No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=0</w:t>
            </w:r>
          </w:p>
        </w:tc>
      </w:tr>
      <w:tr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ind w:firstLine="420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Bladder training intervention time</w:t>
            </w:r>
          </w:p>
        </w:tc>
        <w:tc>
          <w:tcPr>
            <w:tcW w:w="426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jc w:val="center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≥2 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weeks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=1 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&lt;2 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weeks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=0</w:t>
            </w:r>
          </w:p>
        </w:tc>
      </w:tr>
      <w:tr>
        <w:tc>
          <w:tcPr>
            <w:tcW w:w="4261" w:type="dxa"/>
            <w:tcBorders>
              <w:bottom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ind w:firstLine="420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Hypoproteinemia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after="160" w:line="360" w:lineRule="auto"/>
              <w:jc w:val="center"/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Yes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=1 </w:t>
            </w:r>
            <w:r>
              <w:rPr>
                <w:rFonts w:hint="default" w:ascii="Times New Roman Regular" w:hAnsi="Times New Roman Regular" w:cs="Times New Roman Regular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No </w:t>
            </w:r>
            <w:r>
              <w:rPr>
                <w:rFonts w:hint="default" w:ascii="Times New Roman Regular" w:hAnsi="Times New Roman Regular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=0</w:t>
            </w:r>
          </w:p>
        </w:tc>
      </w:tr>
    </w:tbl>
    <w:p>
      <w:pPr>
        <w:rPr>
          <w:rFonts w:hint="default" w:ascii="Times New Roman Regular" w:hAnsi="Times New Roman Regular" w:cs="Times New Roman Regul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Segoe UI Historic">
    <w:altName w:val="苹方-简"/>
    <w:panose1 w:val="020B0502040204020203"/>
    <w:charset w:val="00"/>
    <w:family w:val="swiss"/>
    <w:pitch w:val="default"/>
    <w:sig w:usb0="00000000" w:usb1="00000000" w:usb2="0060C080" w:usb3="00000000" w:csb0="00000001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1AB8"/>
    <w:rsid w:val="3E9D6B28"/>
    <w:rsid w:val="3EFF4562"/>
    <w:rsid w:val="7EEE5FFE"/>
    <w:rsid w:val="7FFA1AB8"/>
    <w:rsid w:val="B6FA4B97"/>
    <w:rsid w:val="EEB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2022-01-20T08:38:00Z</dcterms:created>
  <dc:creator>will</dc:creator>
  <cp:lastModifiedBy>will</cp:lastModifiedBy>
  <dcterms:modified xsi:type="dcterms:W3CDTF">2022-04-02T09:25:40Z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